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8E03" w14:textId="62779095" w:rsidR="0024034F" w:rsidRPr="00D83D79" w:rsidRDefault="002C6F52" w:rsidP="009D37A0">
      <w:pPr>
        <w:spacing w:line="276" w:lineRule="auto"/>
        <w:jc w:val="center"/>
        <w:rPr>
          <w:rFonts w:ascii="Arial" w:hAnsi="Arial" w:cs="Arial"/>
          <w:b/>
          <w:sz w:val="32"/>
          <w:szCs w:val="32"/>
        </w:rPr>
      </w:pPr>
      <w:r>
        <w:rPr>
          <w:noProof/>
        </w:rPr>
        <w:drawing>
          <wp:anchor distT="0" distB="0" distL="114300" distR="114300" simplePos="0" relativeHeight="251658240" behindDoc="1" locked="0" layoutInCell="1" allowOverlap="1" wp14:anchorId="1FF29FC3" wp14:editId="7460206B">
            <wp:simplePos x="0" y="0"/>
            <wp:positionH relativeFrom="margin">
              <wp:posOffset>5382684</wp:posOffset>
            </wp:positionH>
            <wp:positionV relativeFrom="margin">
              <wp:posOffset>-506730</wp:posOffset>
            </wp:positionV>
            <wp:extent cx="1750060" cy="858520"/>
            <wp:effectExtent l="0" t="0" r="2540" b="0"/>
            <wp:wrapSquare wrapText="bothSides"/>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0060" cy="858520"/>
                    </a:xfrm>
                    <a:prstGeom prst="rect">
                      <a:avLst/>
                    </a:prstGeom>
                  </pic:spPr>
                </pic:pic>
              </a:graphicData>
            </a:graphic>
            <wp14:sizeRelH relativeFrom="page">
              <wp14:pctWidth>0</wp14:pctWidth>
            </wp14:sizeRelH>
            <wp14:sizeRelV relativeFrom="page">
              <wp14:pctHeight>0</wp14:pctHeight>
            </wp14:sizeRelV>
          </wp:anchor>
        </w:drawing>
      </w:r>
      <w:r w:rsidR="0024034F" w:rsidRPr="00D83D79">
        <w:rPr>
          <w:rFonts w:ascii="Arial" w:hAnsi="Arial" w:cs="Arial"/>
          <w:b/>
          <w:sz w:val="32"/>
          <w:szCs w:val="32"/>
        </w:rPr>
        <w:t xml:space="preserve">Medicare </w:t>
      </w:r>
      <w:r w:rsidR="00ED57F0">
        <w:rPr>
          <w:rFonts w:ascii="Arial" w:hAnsi="Arial" w:cs="Arial"/>
          <w:b/>
          <w:sz w:val="32"/>
          <w:szCs w:val="32"/>
        </w:rPr>
        <w:t>C</w:t>
      </w:r>
      <w:r w:rsidR="0024034F" w:rsidRPr="00D83D79">
        <w:rPr>
          <w:rFonts w:ascii="Arial" w:hAnsi="Arial" w:cs="Arial"/>
          <w:b/>
          <w:sz w:val="32"/>
          <w:szCs w:val="32"/>
        </w:rPr>
        <w:t xml:space="preserve">overage and </w:t>
      </w:r>
      <w:r w:rsidR="00476163">
        <w:rPr>
          <w:rFonts w:ascii="Arial" w:hAnsi="Arial" w:cs="Arial"/>
          <w:b/>
          <w:sz w:val="32"/>
          <w:szCs w:val="32"/>
        </w:rPr>
        <w:t>COVID-19</w:t>
      </w:r>
    </w:p>
    <w:p w14:paraId="3CAB4EDF" w14:textId="77777777" w:rsidR="009D37A0" w:rsidRPr="00D83D79" w:rsidRDefault="009D37A0" w:rsidP="009D37A0">
      <w:pPr>
        <w:spacing w:line="276" w:lineRule="auto"/>
        <w:rPr>
          <w:rFonts w:ascii="Arial" w:hAnsi="Arial" w:cs="Arial"/>
        </w:rPr>
      </w:pPr>
    </w:p>
    <w:p w14:paraId="2D41FBEA" w14:textId="6FF34444" w:rsidR="00CE72D0" w:rsidRDefault="00FF7DA8" w:rsidP="27C222AE">
      <w:pPr>
        <w:spacing w:line="276" w:lineRule="auto"/>
        <w:rPr>
          <w:rFonts w:ascii="Arial" w:hAnsi="Arial" w:cs="Arial"/>
        </w:rPr>
      </w:pPr>
      <w:r w:rsidRPr="65899152">
        <w:rPr>
          <w:rFonts w:ascii="Arial" w:hAnsi="Arial" w:cs="Arial"/>
        </w:rPr>
        <w:t>The COVID-19 public health emergency (PHE) end</w:t>
      </w:r>
      <w:r w:rsidR="00447995" w:rsidRPr="65899152">
        <w:rPr>
          <w:rFonts w:ascii="Arial" w:hAnsi="Arial" w:cs="Arial"/>
        </w:rPr>
        <w:t xml:space="preserve">ed </w:t>
      </w:r>
      <w:r w:rsidRPr="65899152">
        <w:rPr>
          <w:rFonts w:ascii="Arial" w:hAnsi="Arial" w:cs="Arial"/>
        </w:rPr>
        <w:t>May 11, 2023</w:t>
      </w:r>
      <w:r w:rsidR="008D5564" w:rsidRPr="65899152">
        <w:rPr>
          <w:rFonts w:ascii="Arial" w:hAnsi="Arial" w:cs="Arial"/>
        </w:rPr>
        <w:t>.</w:t>
      </w:r>
      <w:r w:rsidR="01A0E034" w:rsidRPr="65899152">
        <w:rPr>
          <w:rFonts w:ascii="Arial" w:hAnsi="Arial" w:cs="Arial"/>
        </w:rPr>
        <w:t xml:space="preserve"> This means that</w:t>
      </w:r>
      <w:r w:rsidR="00CE72D0">
        <w:rPr>
          <w:rFonts w:ascii="Arial" w:hAnsi="Arial" w:cs="Arial"/>
        </w:rPr>
        <w:t>:</w:t>
      </w:r>
    </w:p>
    <w:p w14:paraId="4529E353" w14:textId="1008ED16" w:rsidR="00CE72D0" w:rsidRPr="0005451D" w:rsidRDefault="00CE72D0" w:rsidP="00CE72D0">
      <w:pPr>
        <w:pStyle w:val="ListParagraph"/>
        <w:numPr>
          <w:ilvl w:val="0"/>
          <w:numId w:val="17"/>
        </w:numPr>
        <w:rPr>
          <w:rFonts w:ascii="Arial" w:hAnsi="Arial" w:cs="Arial"/>
          <w:sz w:val="24"/>
          <w:szCs w:val="24"/>
        </w:rPr>
      </w:pPr>
      <w:r w:rsidRPr="0005451D">
        <w:rPr>
          <w:rFonts w:ascii="Arial" w:hAnsi="Arial" w:cs="Arial"/>
          <w:sz w:val="24"/>
          <w:szCs w:val="24"/>
        </w:rPr>
        <w:t>S</w:t>
      </w:r>
      <w:r w:rsidR="01A0E034" w:rsidRPr="0005451D">
        <w:rPr>
          <w:rFonts w:ascii="Arial" w:hAnsi="Arial" w:cs="Arial"/>
          <w:sz w:val="24"/>
          <w:szCs w:val="24"/>
        </w:rPr>
        <w:t xml:space="preserve">ome of the </w:t>
      </w:r>
      <w:r w:rsidR="008D5564" w:rsidRPr="0005451D">
        <w:rPr>
          <w:rFonts w:ascii="Arial" w:hAnsi="Arial" w:cs="Arial"/>
          <w:sz w:val="24"/>
          <w:szCs w:val="24"/>
        </w:rPr>
        <w:t>waivers and flexibilities</w:t>
      </w:r>
      <w:r w:rsidR="55B5F8DB" w:rsidRPr="0005451D">
        <w:rPr>
          <w:rFonts w:ascii="Arial" w:hAnsi="Arial" w:cs="Arial"/>
          <w:sz w:val="24"/>
          <w:szCs w:val="24"/>
        </w:rPr>
        <w:t xml:space="preserve"> that </w:t>
      </w:r>
      <w:r w:rsidRPr="0005451D">
        <w:rPr>
          <w:rFonts w:ascii="Arial" w:hAnsi="Arial" w:cs="Arial"/>
          <w:sz w:val="24"/>
          <w:szCs w:val="24"/>
        </w:rPr>
        <w:t>changed</w:t>
      </w:r>
      <w:r w:rsidR="55B5F8DB" w:rsidRPr="0005451D">
        <w:rPr>
          <w:rFonts w:ascii="Arial" w:hAnsi="Arial" w:cs="Arial"/>
          <w:sz w:val="24"/>
          <w:szCs w:val="24"/>
        </w:rPr>
        <w:t xml:space="preserve"> Medicare cover</w:t>
      </w:r>
      <w:r w:rsidR="10D4B41F" w:rsidRPr="0005451D">
        <w:rPr>
          <w:rFonts w:ascii="Arial" w:hAnsi="Arial" w:cs="Arial"/>
          <w:sz w:val="24"/>
          <w:szCs w:val="24"/>
        </w:rPr>
        <w:t>a</w:t>
      </w:r>
      <w:r w:rsidR="55B5F8DB" w:rsidRPr="0005451D">
        <w:rPr>
          <w:rFonts w:ascii="Arial" w:hAnsi="Arial" w:cs="Arial"/>
          <w:sz w:val="24"/>
          <w:szCs w:val="24"/>
        </w:rPr>
        <w:t>ge during the emergency are no longer in place</w:t>
      </w:r>
    </w:p>
    <w:p w14:paraId="54862932" w14:textId="628ED9F7" w:rsidR="00C62A9F" w:rsidRPr="00447995" w:rsidRDefault="00CE72D0" w:rsidP="0005451D">
      <w:pPr>
        <w:pStyle w:val="ListParagraph"/>
        <w:numPr>
          <w:ilvl w:val="0"/>
          <w:numId w:val="17"/>
        </w:numPr>
      </w:pPr>
      <w:r w:rsidRPr="0005451D">
        <w:rPr>
          <w:rFonts w:ascii="Arial" w:hAnsi="Arial" w:cs="Arial"/>
          <w:sz w:val="24"/>
          <w:szCs w:val="24"/>
        </w:rPr>
        <w:t>S</w:t>
      </w:r>
      <w:r w:rsidR="55B5F8DB" w:rsidRPr="0005451D">
        <w:rPr>
          <w:rFonts w:ascii="Arial" w:hAnsi="Arial" w:cs="Arial"/>
          <w:sz w:val="24"/>
          <w:szCs w:val="24"/>
        </w:rPr>
        <w:t>ome Medicare coverage and cost rules are returning to what they were before 2020</w:t>
      </w:r>
      <w:r w:rsidR="55B5F8DB" w:rsidRPr="0005451D">
        <w:rPr>
          <w:rFonts w:ascii="Arial" w:hAnsi="Arial" w:cs="Arial"/>
        </w:rPr>
        <w:t xml:space="preserve"> </w:t>
      </w:r>
      <w:r w:rsidR="008D5564" w:rsidRPr="0005451D">
        <w:rPr>
          <w:rFonts w:ascii="Arial" w:hAnsi="Arial" w:cs="Arial"/>
        </w:rPr>
        <w:t xml:space="preserve"> </w:t>
      </w:r>
    </w:p>
    <w:p w14:paraId="5459DC04" w14:textId="77777777" w:rsidR="00FF7DA8" w:rsidRDefault="00FF7DA8" w:rsidP="009D37A0">
      <w:pPr>
        <w:spacing w:line="276" w:lineRule="auto"/>
        <w:rPr>
          <w:rFonts w:ascii="Arial" w:hAnsi="Arial" w:cs="Arial"/>
          <w:b/>
          <w:sz w:val="28"/>
          <w:szCs w:val="28"/>
        </w:rPr>
      </w:pPr>
    </w:p>
    <w:p w14:paraId="71FD8ACC" w14:textId="2FFB1DF9" w:rsidR="0037086A" w:rsidRPr="00D83D79" w:rsidRDefault="0037086A" w:rsidP="0037086A">
      <w:pPr>
        <w:spacing w:line="276" w:lineRule="auto"/>
        <w:rPr>
          <w:rFonts w:ascii="Arial" w:hAnsi="Arial" w:cs="Arial"/>
          <w:color w:val="000000" w:themeColor="text1"/>
          <w:sz w:val="28"/>
          <w:szCs w:val="28"/>
        </w:rPr>
      </w:pPr>
      <w:r>
        <w:rPr>
          <w:rFonts w:ascii="Arial" w:hAnsi="Arial" w:cs="Arial"/>
          <w:b/>
          <w:color w:val="000000" w:themeColor="text1"/>
          <w:sz w:val="28"/>
          <w:szCs w:val="28"/>
        </w:rPr>
        <w:t>COVID-19</w:t>
      </w:r>
      <w:r w:rsidRPr="00D83D79">
        <w:rPr>
          <w:rFonts w:ascii="Arial" w:hAnsi="Arial" w:cs="Arial"/>
          <w:b/>
          <w:color w:val="000000" w:themeColor="text1"/>
          <w:sz w:val="28"/>
          <w:szCs w:val="28"/>
        </w:rPr>
        <w:t xml:space="preserve"> testing</w:t>
      </w:r>
    </w:p>
    <w:p w14:paraId="26C2B0A4" w14:textId="1E131BCC" w:rsidR="0037086A" w:rsidRDefault="0037086A" w:rsidP="0037086A">
      <w:pPr>
        <w:spacing w:line="276" w:lineRule="auto"/>
        <w:rPr>
          <w:rFonts w:ascii="Arial" w:hAnsi="Arial" w:cs="Arial"/>
          <w:color w:val="000000"/>
        </w:rPr>
      </w:pPr>
      <w:r w:rsidRPr="27C222AE">
        <w:rPr>
          <w:rFonts w:ascii="Arial" w:hAnsi="Arial" w:cs="Arial"/>
          <w:color w:val="000000" w:themeColor="text1"/>
        </w:rPr>
        <w:t xml:space="preserve">Original Medicare </w:t>
      </w:r>
      <w:r w:rsidR="003B03F8" w:rsidRPr="27C222AE">
        <w:rPr>
          <w:rFonts w:ascii="Arial" w:hAnsi="Arial" w:cs="Arial"/>
          <w:color w:val="000000" w:themeColor="text1"/>
        </w:rPr>
        <w:t xml:space="preserve">continues to </w:t>
      </w:r>
      <w:r w:rsidRPr="27C222AE">
        <w:rPr>
          <w:rFonts w:ascii="Arial" w:hAnsi="Arial" w:cs="Arial"/>
          <w:color w:val="000000" w:themeColor="text1"/>
        </w:rPr>
        <w:t>cover</w:t>
      </w:r>
      <w:r w:rsidR="003B03F8" w:rsidRPr="27C222AE">
        <w:rPr>
          <w:rFonts w:ascii="Arial" w:hAnsi="Arial" w:cs="Arial"/>
          <w:color w:val="000000" w:themeColor="text1"/>
        </w:rPr>
        <w:t xml:space="preserve"> </w:t>
      </w:r>
      <w:r w:rsidRPr="27C222AE">
        <w:rPr>
          <w:rFonts w:ascii="Arial" w:hAnsi="Arial" w:cs="Arial"/>
          <w:color w:val="000000" w:themeColor="text1"/>
        </w:rPr>
        <w:t xml:space="preserve">COVID-19 PCR </w:t>
      </w:r>
      <w:r w:rsidR="005E2CC4">
        <w:rPr>
          <w:rFonts w:ascii="Arial" w:hAnsi="Arial" w:cs="Arial"/>
          <w:color w:val="000000" w:themeColor="text1"/>
        </w:rPr>
        <w:t>tests (which identif</w:t>
      </w:r>
      <w:r w:rsidR="0016700A">
        <w:rPr>
          <w:rFonts w:ascii="Arial" w:hAnsi="Arial" w:cs="Arial"/>
          <w:color w:val="000000" w:themeColor="text1"/>
        </w:rPr>
        <w:t xml:space="preserve">y </w:t>
      </w:r>
      <w:r w:rsidR="005E2CC4">
        <w:rPr>
          <w:rFonts w:ascii="Arial" w:hAnsi="Arial" w:cs="Arial"/>
          <w:color w:val="000000" w:themeColor="text1"/>
        </w:rPr>
        <w:t xml:space="preserve">genetic material) </w:t>
      </w:r>
      <w:r w:rsidRPr="27C222AE">
        <w:rPr>
          <w:rFonts w:ascii="Arial" w:hAnsi="Arial" w:cs="Arial"/>
          <w:color w:val="000000" w:themeColor="text1"/>
        </w:rPr>
        <w:t xml:space="preserve">and antigen tests </w:t>
      </w:r>
      <w:r w:rsidR="00B66086">
        <w:rPr>
          <w:rFonts w:ascii="Arial" w:hAnsi="Arial" w:cs="Arial"/>
          <w:color w:val="000000" w:themeColor="text1"/>
        </w:rPr>
        <w:t xml:space="preserve">(which are often referred to as rapid tests) </w:t>
      </w:r>
      <w:r w:rsidRPr="27C222AE">
        <w:rPr>
          <w:rFonts w:ascii="Arial" w:hAnsi="Arial" w:cs="Arial"/>
          <w:color w:val="000000" w:themeColor="text1"/>
        </w:rPr>
        <w:t>with no cost-sharing</w:t>
      </w:r>
      <w:r w:rsidR="00ED7FBB" w:rsidRPr="27C222AE">
        <w:rPr>
          <w:rFonts w:ascii="Arial" w:hAnsi="Arial" w:cs="Arial"/>
          <w:color w:val="000000" w:themeColor="text1"/>
        </w:rPr>
        <w:t xml:space="preserve"> (no deductible, coinsurance, or copayment)</w:t>
      </w:r>
      <w:r w:rsidRPr="27C222AE">
        <w:rPr>
          <w:rFonts w:ascii="Arial" w:hAnsi="Arial" w:cs="Arial"/>
          <w:color w:val="000000" w:themeColor="text1"/>
        </w:rPr>
        <w:t xml:space="preserve"> when the test is ordered by a physician or other health care practitioner. </w:t>
      </w:r>
      <w:r w:rsidR="00C43815" w:rsidRPr="27C222AE">
        <w:rPr>
          <w:rFonts w:ascii="Arial" w:hAnsi="Arial" w:cs="Arial"/>
          <w:color w:val="000000" w:themeColor="text1"/>
        </w:rPr>
        <w:t xml:space="preserve">Original Medicare does not cover </w:t>
      </w:r>
      <w:proofErr w:type="gramStart"/>
      <w:r w:rsidR="00C43815" w:rsidRPr="27C222AE">
        <w:rPr>
          <w:rFonts w:ascii="Arial" w:hAnsi="Arial" w:cs="Arial"/>
          <w:color w:val="000000" w:themeColor="text1"/>
        </w:rPr>
        <w:t>over-the-counter</w:t>
      </w:r>
      <w:proofErr w:type="gramEnd"/>
      <w:r w:rsidR="00C43815" w:rsidRPr="27C222AE">
        <w:rPr>
          <w:rFonts w:ascii="Arial" w:hAnsi="Arial" w:cs="Arial"/>
          <w:color w:val="000000" w:themeColor="text1"/>
        </w:rPr>
        <w:t xml:space="preserve"> (OTC) at-home tests</w:t>
      </w:r>
      <w:r w:rsidR="00FF7DA8" w:rsidRPr="27C222AE">
        <w:rPr>
          <w:rFonts w:ascii="Arial" w:hAnsi="Arial" w:cs="Arial"/>
          <w:color w:val="000000" w:themeColor="text1"/>
        </w:rPr>
        <w:t xml:space="preserve"> </w:t>
      </w:r>
      <w:r w:rsidR="31BC4AFD" w:rsidRPr="27C222AE">
        <w:rPr>
          <w:rFonts w:ascii="Arial" w:hAnsi="Arial" w:cs="Arial"/>
          <w:color w:val="000000" w:themeColor="text1"/>
        </w:rPr>
        <w:t>as of May 11, 2023</w:t>
      </w:r>
      <w:r w:rsidR="00447995" w:rsidRPr="27C222AE">
        <w:rPr>
          <w:rFonts w:ascii="Arial" w:hAnsi="Arial" w:cs="Arial"/>
          <w:color w:val="000000" w:themeColor="text1"/>
        </w:rPr>
        <w:t xml:space="preserve">. </w:t>
      </w:r>
    </w:p>
    <w:p w14:paraId="15FF5939" w14:textId="77777777" w:rsidR="0037086A" w:rsidRDefault="0037086A" w:rsidP="0037086A">
      <w:pPr>
        <w:spacing w:line="276" w:lineRule="auto"/>
        <w:rPr>
          <w:rFonts w:ascii="Arial" w:hAnsi="Arial" w:cs="Arial"/>
          <w:color w:val="000000"/>
        </w:rPr>
      </w:pPr>
    </w:p>
    <w:p w14:paraId="41E034F0" w14:textId="7C8C83FC" w:rsidR="006A22EE" w:rsidRDefault="0037086A" w:rsidP="0037086A">
      <w:pPr>
        <w:spacing w:line="276" w:lineRule="auto"/>
        <w:rPr>
          <w:rFonts w:ascii="Arial" w:hAnsi="Arial" w:cs="Arial"/>
          <w:color w:val="000000"/>
        </w:rPr>
      </w:pPr>
      <w:r w:rsidRPr="27C222AE">
        <w:rPr>
          <w:rFonts w:ascii="Arial" w:hAnsi="Arial" w:cs="Arial"/>
          <w:color w:val="000000" w:themeColor="text1"/>
        </w:rPr>
        <w:t>Medicare Advantage Plans</w:t>
      </w:r>
      <w:r w:rsidR="3822E161" w:rsidRPr="27C222AE">
        <w:rPr>
          <w:rFonts w:ascii="Arial" w:hAnsi="Arial" w:cs="Arial"/>
          <w:color w:val="000000" w:themeColor="text1"/>
        </w:rPr>
        <w:t xml:space="preserve"> must</w:t>
      </w:r>
      <w:r w:rsidRPr="27C222AE">
        <w:rPr>
          <w:rFonts w:ascii="Arial" w:hAnsi="Arial" w:cs="Arial"/>
          <w:color w:val="000000" w:themeColor="text1"/>
        </w:rPr>
        <w:t xml:space="preserve"> </w:t>
      </w:r>
      <w:r w:rsidR="0B1BFE9E" w:rsidRPr="27C222AE">
        <w:rPr>
          <w:rFonts w:ascii="Arial" w:hAnsi="Arial" w:cs="Arial"/>
          <w:color w:val="000000" w:themeColor="text1"/>
        </w:rPr>
        <w:t xml:space="preserve">continue to </w:t>
      </w:r>
      <w:r w:rsidR="006D5730" w:rsidRPr="27C222AE">
        <w:rPr>
          <w:rFonts w:ascii="Arial" w:hAnsi="Arial" w:cs="Arial"/>
          <w:color w:val="000000" w:themeColor="text1"/>
        </w:rPr>
        <w:t>cover COVID-19 PCR and antigen tests, but cost-sharing may apply. A beneficiary should contact their plan to learn more about costs. M</w:t>
      </w:r>
      <w:r w:rsidR="006A22EE" w:rsidRPr="27C222AE">
        <w:rPr>
          <w:rFonts w:ascii="Arial" w:hAnsi="Arial" w:cs="Arial"/>
          <w:color w:val="000000" w:themeColor="text1"/>
        </w:rPr>
        <w:t xml:space="preserve">edicare Advantage Plans may also </w:t>
      </w:r>
      <w:r w:rsidR="43FA765C" w:rsidRPr="27C222AE">
        <w:rPr>
          <w:rFonts w:ascii="Arial" w:hAnsi="Arial" w:cs="Arial"/>
          <w:color w:val="000000" w:themeColor="text1"/>
        </w:rPr>
        <w:t xml:space="preserve">continue to </w:t>
      </w:r>
      <w:r w:rsidR="006D5730" w:rsidRPr="27C222AE">
        <w:rPr>
          <w:rFonts w:ascii="Arial" w:hAnsi="Arial" w:cs="Arial"/>
          <w:color w:val="000000" w:themeColor="text1"/>
        </w:rPr>
        <w:t>cover</w:t>
      </w:r>
      <w:r w:rsidR="00C43815" w:rsidRPr="27C222AE">
        <w:rPr>
          <w:rFonts w:ascii="Arial" w:hAnsi="Arial" w:cs="Arial"/>
          <w:color w:val="000000" w:themeColor="text1"/>
        </w:rPr>
        <w:t xml:space="preserve"> </w:t>
      </w:r>
      <w:r w:rsidR="00C62A9F">
        <w:rPr>
          <w:rFonts w:ascii="Arial" w:hAnsi="Arial" w:cs="Arial"/>
          <w:color w:val="000000" w:themeColor="text1"/>
        </w:rPr>
        <w:t>OTC</w:t>
      </w:r>
      <w:r w:rsidR="00C43815" w:rsidRPr="27C222AE">
        <w:rPr>
          <w:rFonts w:ascii="Arial" w:hAnsi="Arial" w:cs="Arial"/>
          <w:color w:val="000000" w:themeColor="text1"/>
        </w:rPr>
        <w:t xml:space="preserve"> at-home tests. A beneficiary should contact their plan to learn </w:t>
      </w:r>
      <w:r w:rsidR="006D5730" w:rsidRPr="27C222AE">
        <w:rPr>
          <w:rFonts w:ascii="Arial" w:hAnsi="Arial" w:cs="Arial"/>
          <w:color w:val="000000" w:themeColor="text1"/>
        </w:rPr>
        <w:t>if th</w:t>
      </w:r>
      <w:r w:rsidR="00ED7FBB" w:rsidRPr="27C222AE">
        <w:rPr>
          <w:rFonts w:ascii="Arial" w:hAnsi="Arial" w:cs="Arial"/>
          <w:color w:val="000000" w:themeColor="text1"/>
        </w:rPr>
        <w:t>is supplemental benefit is offered</w:t>
      </w:r>
      <w:r w:rsidR="7EE35EAD" w:rsidRPr="27C222AE">
        <w:rPr>
          <w:rFonts w:ascii="Arial" w:hAnsi="Arial" w:cs="Arial"/>
          <w:color w:val="000000" w:themeColor="text1"/>
        </w:rPr>
        <w:t>, and what rules, restrictions, or costs may apply</w:t>
      </w:r>
      <w:r w:rsidR="00ED7FBB" w:rsidRPr="27C222AE">
        <w:rPr>
          <w:rFonts w:ascii="Arial" w:hAnsi="Arial" w:cs="Arial"/>
          <w:color w:val="000000" w:themeColor="text1"/>
        </w:rPr>
        <w:t xml:space="preserve">. </w:t>
      </w:r>
    </w:p>
    <w:p w14:paraId="4DBABB02" w14:textId="77777777" w:rsidR="0037086A" w:rsidRDefault="0037086A" w:rsidP="0037086A">
      <w:pPr>
        <w:spacing w:line="276" w:lineRule="auto"/>
        <w:rPr>
          <w:rFonts w:ascii="Arial" w:hAnsi="Arial" w:cs="Arial"/>
          <w:color w:val="000000"/>
        </w:rPr>
      </w:pPr>
    </w:p>
    <w:p w14:paraId="282893B4" w14:textId="77777777" w:rsidR="0065407B" w:rsidRPr="00142CD8" w:rsidRDefault="0065407B" w:rsidP="0065407B">
      <w:pPr>
        <w:spacing w:line="276" w:lineRule="auto"/>
        <w:rPr>
          <w:rFonts w:ascii="Arial" w:hAnsi="Arial" w:cs="Arial"/>
          <w:b/>
          <w:sz w:val="28"/>
          <w:szCs w:val="28"/>
        </w:rPr>
      </w:pPr>
      <w:r w:rsidRPr="103C87C3">
        <w:rPr>
          <w:rFonts w:ascii="Arial" w:hAnsi="Arial" w:cs="Arial"/>
          <w:b/>
          <w:bCs/>
          <w:sz w:val="28"/>
          <w:szCs w:val="28"/>
        </w:rPr>
        <w:t>COVID-19 vaccine</w:t>
      </w:r>
    </w:p>
    <w:p w14:paraId="37B72B9F" w14:textId="419B5D97" w:rsidR="0065407B" w:rsidRPr="00E97A86" w:rsidRDefault="0065407B" w:rsidP="0065407B">
      <w:pPr>
        <w:spacing w:line="276" w:lineRule="auto"/>
        <w:rPr>
          <w:rFonts w:ascii="Arial" w:hAnsi="Arial" w:cs="Arial"/>
        </w:rPr>
      </w:pPr>
      <w:r w:rsidRPr="27C222AE">
        <w:rPr>
          <w:rFonts w:ascii="ArialMT" w:hAnsi="ArialMT"/>
        </w:rPr>
        <w:t xml:space="preserve">Coverage for COVID-19 vaccines </w:t>
      </w:r>
      <w:r w:rsidR="000D04D5" w:rsidRPr="27C222AE">
        <w:rPr>
          <w:rFonts w:ascii="ArialMT" w:hAnsi="ArialMT"/>
        </w:rPr>
        <w:t>stays</w:t>
      </w:r>
      <w:r w:rsidRPr="27C222AE">
        <w:rPr>
          <w:rFonts w:ascii="ArialMT" w:hAnsi="ArialMT"/>
        </w:rPr>
        <w:t xml:space="preserve"> the same after the PHE</w:t>
      </w:r>
      <w:r w:rsidR="2273B022" w:rsidRPr="27C222AE">
        <w:rPr>
          <w:rFonts w:ascii="ArialMT" w:hAnsi="ArialMT"/>
        </w:rPr>
        <w:t xml:space="preserve"> ends</w:t>
      </w:r>
      <w:r w:rsidRPr="27C222AE">
        <w:rPr>
          <w:rFonts w:ascii="ArialMT" w:hAnsi="ArialMT"/>
        </w:rPr>
        <w:t xml:space="preserve">. The federal government has paid for the cost of the vaccine for all people, and </w:t>
      </w:r>
      <w:r w:rsidRPr="27C222AE">
        <w:rPr>
          <w:rFonts w:ascii="Arial" w:hAnsi="Arial" w:cs="Arial"/>
        </w:rPr>
        <w:t xml:space="preserve">Original Medicare Part B covers administration of the vaccine for Medicare beneficiaries, regardless of whether a beneficiary has Original Medicare or a Medicare Advantage Plan. The beneficiary will owe no cost-sharing (deductibles, copayments, or coinsurance). Beneficiaries should bring their red, white, and blue Medicare card to their vaccination appointment, even if they have a Medicare Advantage Plan. If they do not bring their card, their provider may ask for their Social Security number </w:t>
      </w:r>
      <w:proofErr w:type="gramStart"/>
      <w:r w:rsidRPr="27C222AE">
        <w:rPr>
          <w:rFonts w:ascii="Arial" w:hAnsi="Arial" w:cs="Arial"/>
        </w:rPr>
        <w:t>in order to</w:t>
      </w:r>
      <w:proofErr w:type="gramEnd"/>
      <w:r w:rsidRPr="27C222AE">
        <w:rPr>
          <w:rFonts w:ascii="Arial" w:hAnsi="Arial" w:cs="Arial"/>
        </w:rPr>
        <w:t xml:space="preserve"> look up their Medicare number and bill Medicare. </w:t>
      </w:r>
    </w:p>
    <w:p w14:paraId="09113454" w14:textId="77777777" w:rsidR="0065407B" w:rsidRPr="00E97A86" w:rsidRDefault="0065407B" w:rsidP="0065407B">
      <w:pPr>
        <w:spacing w:line="276" w:lineRule="auto"/>
        <w:rPr>
          <w:rFonts w:ascii="Arial" w:hAnsi="Arial" w:cs="Arial"/>
        </w:rPr>
      </w:pPr>
    </w:p>
    <w:p w14:paraId="74112B84" w14:textId="77777777" w:rsidR="0065407B" w:rsidRPr="00E97A86" w:rsidRDefault="0065407B" w:rsidP="0065407B">
      <w:pPr>
        <w:spacing w:line="276" w:lineRule="auto"/>
        <w:rPr>
          <w:rFonts w:ascii="Arial" w:eastAsia="Arial" w:hAnsi="Arial" w:cs="Arial"/>
        </w:rPr>
      </w:pPr>
      <w:r w:rsidRPr="00E97A86">
        <w:rPr>
          <w:rFonts w:ascii="Arial" w:eastAsia="Arial" w:hAnsi="Arial" w:cs="Arial"/>
        </w:rPr>
        <w:t xml:space="preserve">Medicare covers COVID-19 booster shots with zero cost-sharing. Refer to the </w:t>
      </w:r>
      <w:hyperlink r:id="rId12" w:history="1">
        <w:r>
          <w:rPr>
            <w:rStyle w:val="Hyperlink"/>
            <w:rFonts w:ascii="Arial" w:eastAsia="Arial" w:hAnsi="Arial" w:cs="Arial"/>
          </w:rPr>
          <w:t>Centers for Disease Control and Prevention (CDC) website</w:t>
        </w:r>
      </w:hyperlink>
      <w:r>
        <w:rPr>
          <w:rFonts w:ascii="Arial" w:eastAsia="Arial" w:hAnsi="Arial" w:cs="Arial"/>
        </w:rPr>
        <w:t xml:space="preserve"> </w:t>
      </w:r>
      <w:r w:rsidRPr="00E97A86">
        <w:rPr>
          <w:rFonts w:ascii="Arial" w:eastAsia="Arial" w:hAnsi="Arial" w:cs="Arial"/>
        </w:rPr>
        <w:t xml:space="preserve">for more information about COVID-19 vaccines and boosters. </w:t>
      </w:r>
    </w:p>
    <w:p w14:paraId="51BF5F36" w14:textId="77777777" w:rsidR="0065407B" w:rsidRPr="00E97A86" w:rsidRDefault="0065407B" w:rsidP="0065407B">
      <w:pPr>
        <w:spacing w:line="276" w:lineRule="auto"/>
        <w:rPr>
          <w:rFonts w:ascii="Arial" w:eastAsia="Arial" w:hAnsi="Arial" w:cs="Arial"/>
        </w:rPr>
      </w:pPr>
    </w:p>
    <w:p w14:paraId="6FAD66EC" w14:textId="5DDA478D" w:rsidR="0065407B" w:rsidRDefault="0065407B" w:rsidP="0065407B">
      <w:pPr>
        <w:spacing w:line="276" w:lineRule="auto"/>
        <w:rPr>
          <w:rFonts w:ascii="Arial" w:eastAsia="Arial" w:hAnsi="Arial" w:cs="Arial"/>
        </w:rPr>
      </w:pPr>
      <w:r w:rsidRPr="27C222AE">
        <w:rPr>
          <w:rFonts w:ascii="Arial" w:eastAsia="Arial" w:hAnsi="Arial" w:cs="Arial"/>
        </w:rPr>
        <w:t>People should receive COVID-19 vaccine and booster shots for maximum protection against the virus. Health officials recommend that older adults receive</w:t>
      </w:r>
      <w:r w:rsidR="76C7C692" w:rsidRPr="27C222AE">
        <w:rPr>
          <w:rFonts w:ascii="Arial" w:eastAsia="Arial" w:hAnsi="Arial" w:cs="Arial"/>
        </w:rPr>
        <w:t xml:space="preserve"> timely</w:t>
      </w:r>
      <w:r w:rsidRPr="27C222AE">
        <w:rPr>
          <w:rFonts w:ascii="Arial" w:eastAsia="Arial" w:hAnsi="Arial" w:cs="Arial"/>
        </w:rPr>
        <w:t xml:space="preserve"> booster shots, especially as new variants emerge. Beneficiaries should speak with their doctor if they have questions or concerns. </w:t>
      </w:r>
    </w:p>
    <w:p w14:paraId="752F1CF0" w14:textId="77777777" w:rsidR="0065407B" w:rsidRDefault="0065407B" w:rsidP="0065407B">
      <w:pPr>
        <w:spacing w:line="276" w:lineRule="auto"/>
        <w:rPr>
          <w:rFonts w:ascii="Arial" w:eastAsia="Arial" w:hAnsi="Arial" w:cs="Arial"/>
        </w:rPr>
      </w:pPr>
    </w:p>
    <w:p w14:paraId="3FFBCF9B" w14:textId="7A3D6D6B" w:rsidR="00606F9B" w:rsidRDefault="00B81A56" w:rsidP="00B81A56">
      <w:pPr>
        <w:spacing w:line="276" w:lineRule="auto"/>
        <w:rPr>
          <w:rFonts w:ascii="Arial" w:hAnsi="Arial" w:cs="Arial"/>
          <w:b/>
          <w:bCs/>
        </w:rPr>
      </w:pPr>
      <w:r>
        <w:rPr>
          <w:rFonts w:ascii="Arial" w:hAnsi="Arial" w:cs="Arial"/>
          <w:b/>
          <w:sz w:val="28"/>
          <w:szCs w:val="28"/>
        </w:rPr>
        <w:t xml:space="preserve">COVID-19 </w:t>
      </w:r>
      <w:r w:rsidR="00C62A9F">
        <w:rPr>
          <w:rFonts w:ascii="Arial" w:hAnsi="Arial" w:cs="Arial"/>
          <w:b/>
          <w:sz w:val="28"/>
          <w:szCs w:val="28"/>
        </w:rPr>
        <w:t>treatments</w:t>
      </w:r>
    </w:p>
    <w:p w14:paraId="40052E6F" w14:textId="39CB1BF1" w:rsidR="00C62A9F" w:rsidRPr="0005451D" w:rsidRDefault="00C62A9F" w:rsidP="00B81A56">
      <w:pPr>
        <w:spacing w:line="276" w:lineRule="auto"/>
        <w:rPr>
          <w:rFonts w:ascii="Arial" w:hAnsi="Arial" w:cs="Arial"/>
          <w:b/>
          <w:bCs/>
        </w:rPr>
      </w:pPr>
      <w:r w:rsidRPr="0005451D">
        <w:rPr>
          <w:rFonts w:ascii="Arial" w:hAnsi="Arial" w:cs="Arial"/>
          <w:b/>
          <w:bCs/>
        </w:rPr>
        <w:t>Monoclonal antibody treatment</w:t>
      </w:r>
    </w:p>
    <w:p w14:paraId="2B73B4D8" w14:textId="69B6EF4E" w:rsidR="0065407B" w:rsidRDefault="00B81A56" w:rsidP="0005451D">
      <w:pPr>
        <w:spacing w:line="276" w:lineRule="auto"/>
        <w:ind w:left="720"/>
        <w:rPr>
          <w:rFonts w:ascii="Arial" w:hAnsi="Arial" w:cs="Arial"/>
        </w:rPr>
      </w:pPr>
      <w:r w:rsidRPr="27C222AE">
        <w:rPr>
          <w:rFonts w:ascii="Arial" w:hAnsi="Arial" w:cs="Arial"/>
        </w:rPr>
        <w:t xml:space="preserve">Medicare covers </w:t>
      </w:r>
      <w:r w:rsidR="003943C6" w:rsidRPr="27C222AE">
        <w:rPr>
          <w:rFonts w:ascii="Arial" w:hAnsi="Arial" w:cs="Arial"/>
        </w:rPr>
        <w:t xml:space="preserve">certain </w:t>
      </w:r>
      <w:r w:rsidRPr="27C222AE">
        <w:rPr>
          <w:rFonts w:ascii="Arial" w:hAnsi="Arial" w:cs="Arial"/>
        </w:rPr>
        <w:t xml:space="preserve">monoclonal antibodies to </w:t>
      </w:r>
      <w:r w:rsidR="26B904D8" w:rsidRPr="27C222AE">
        <w:rPr>
          <w:rFonts w:ascii="Arial" w:hAnsi="Arial" w:cs="Arial"/>
        </w:rPr>
        <w:t>prevent</w:t>
      </w:r>
      <w:r w:rsidRPr="27C222AE">
        <w:rPr>
          <w:rFonts w:ascii="Arial" w:hAnsi="Arial" w:cs="Arial"/>
        </w:rPr>
        <w:t xml:space="preserve"> COVID-19</w:t>
      </w:r>
      <w:r w:rsidR="64466531" w:rsidRPr="27C222AE">
        <w:rPr>
          <w:rFonts w:ascii="Arial" w:hAnsi="Arial" w:cs="Arial"/>
        </w:rPr>
        <w:t xml:space="preserve"> in certain patients with compromised immune systems</w:t>
      </w:r>
      <w:r w:rsidRPr="27C222AE">
        <w:rPr>
          <w:rFonts w:ascii="Arial" w:hAnsi="Arial" w:cs="Arial"/>
        </w:rPr>
        <w:t>. Beneficiaries will owe no cost-sharing (deducible, coinsurance, or copayment</w:t>
      </w:r>
      <w:r w:rsidR="00A356EF" w:rsidRPr="27C222AE">
        <w:rPr>
          <w:rFonts w:ascii="Arial" w:hAnsi="Arial" w:cs="Arial"/>
        </w:rPr>
        <w:t>) for</w:t>
      </w:r>
      <w:r w:rsidR="00925E58" w:rsidRPr="27C222AE">
        <w:rPr>
          <w:rFonts w:ascii="Arial" w:hAnsi="Arial" w:cs="Arial"/>
        </w:rPr>
        <w:t xml:space="preserve"> </w:t>
      </w:r>
      <w:r w:rsidR="61868CE5" w:rsidRPr="27C222AE">
        <w:rPr>
          <w:rFonts w:ascii="Arial" w:hAnsi="Arial" w:cs="Arial"/>
        </w:rPr>
        <w:t xml:space="preserve">these </w:t>
      </w:r>
      <w:r w:rsidR="00024F34" w:rsidRPr="27C222AE">
        <w:rPr>
          <w:rFonts w:ascii="Arial" w:hAnsi="Arial" w:cs="Arial"/>
        </w:rPr>
        <w:t xml:space="preserve">covered </w:t>
      </w:r>
      <w:r w:rsidR="00925E58" w:rsidRPr="27C222AE">
        <w:rPr>
          <w:rFonts w:ascii="Arial" w:hAnsi="Arial" w:cs="Arial"/>
        </w:rPr>
        <w:t>treatment</w:t>
      </w:r>
      <w:r w:rsidR="00024F34" w:rsidRPr="27C222AE">
        <w:rPr>
          <w:rFonts w:ascii="Arial" w:hAnsi="Arial" w:cs="Arial"/>
        </w:rPr>
        <w:t>s</w:t>
      </w:r>
      <w:r w:rsidR="00925E58" w:rsidRPr="27C222AE">
        <w:rPr>
          <w:rFonts w:ascii="Arial" w:hAnsi="Arial" w:cs="Arial"/>
        </w:rPr>
        <w:t xml:space="preserve">. </w:t>
      </w:r>
    </w:p>
    <w:p w14:paraId="697F711C" w14:textId="74D11A26" w:rsidR="27C222AE" w:rsidRDefault="27C222AE" w:rsidP="27C222AE">
      <w:pPr>
        <w:spacing w:line="276" w:lineRule="auto"/>
        <w:rPr>
          <w:rFonts w:ascii="Arial" w:hAnsi="Arial" w:cs="Arial"/>
        </w:rPr>
      </w:pPr>
    </w:p>
    <w:p w14:paraId="111ED5B9" w14:textId="1056A12C" w:rsidR="0DAD5DB3" w:rsidRDefault="0DAD5DB3" w:rsidP="27C222AE">
      <w:pPr>
        <w:spacing w:line="276" w:lineRule="auto"/>
        <w:rPr>
          <w:rFonts w:ascii="Arial" w:hAnsi="Arial" w:cs="Arial"/>
          <w:b/>
          <w:bCs/>
        </w:rPr>
      </w:pPr>
      <w:r w:rsidRPr="27C222AE">
        <w:rPr>
          <w:rFonts w:ascii="Arial" w:hAnsi="Arial" w:cs="Arial"/>
          <w:b/>
          <w:bCs/>
        </w:rPr>
        <w:t>Other COVID-19 treatments</w:t>
      </w:r>
    </w:p>
    <w:p w14:paraId="2AD8AD91" w14:textId="5E1913E7" w:rsidR="0DAD5DB3" w:rsidRDefault="0DAD5DB3" w:rsidP="0005451D">
      <w:pPr>
        <w:spacing w:line="276" w:lineRule="auto"/>
        <w:ind w:left="720"/>
        <w:rPr>
          <w:rFonts w:ascii="Arial" w:eastAsia="Arial" w:hAnsi="Arial" w:cs="Arial"/>
        </w:rPr>
      </w:pPr>
      <w:r w:rsidRPr="27C222AE">
        <w:rPr>
          <w:rFonts w:ascii="Arial" w:hAnsi="Arial" w:cs="Arial"/>
        </w:rPr>
        <w:t xml:space="preserve">Medications that are given while </w:t>
      </w:r>
      <w:r w:rsidR="004C7B5B">
        <w:rPr>
          <w:rFonts w:ascii="Arial" w:hAnsi="Arial" w:cs="Arial"/>
        </w:rPr>
        <w:t>people</w:t>
      </w:r>
      <w:r w:rsidR="004C7B5B" w:rsidRPr="27C222AE">
        <w:rPr>
          <w:rFonts w:ascii="Arial" w:hAnsi="Arial" w:cs="Arial"/>
        </w:rPr>
        <w:t xml:space="preserve"> </w:t>
      </w:r>
      <w:r w:rsidRPr="27C222AE">
        <w:rPr>
          <w:rFonts w:ascii="Arial" w:hAnsi="Arial" w:cs="Arial"/>
        </w:rPr>
        <w:t>are inpatient</w:t>
      </w:r>
      <w:r w:rsidR="004C7B5B">
        <w:rPr>
          <w:rFonts w:ascii="Arial" w:hAnsi="Arial" w:cs="Arial"/>
        </w:rPr>
        <w:t>s</w:t>
      </w:r>
      <w:r w:rsidRPr="27C222AE">
        <w:rPr>
          <w:rFonts w:ascii="Arial" w:hAnsi="Arial" w:cs="Arial"/>
        </w:rPr>
        <w:t xml:space="preserve"> will be covered under Part A</w:t>
      </w:r>
      <w:r w:rsidR="00C62A9F">
        <w:rPr>
          <w:rFonts w:ascii="Arial" w:hAnsi="Arial" w:cs="Arial"/>
        </w:rPr>
        <w:t xml:space="preserve"> </w:t>
      </w:r>
      <w:r w:rsidRPr="27C222AE">
        <w:rPr>
          <w:rFonts w:ascii="Arial" w:hAnsi="Arial" w:cs="Arial"/>
        </w:rPr>
        <w:t xml:space="preserve">or </w:t>
      </w:r>
      <w:r w:rsidR="00C62A9F">
        <w:rPr>
          <w:rFonts w:ascii="Arial" w:hAnsi="Arial" w:cs="Arial"/>
        </w:rPr>
        <w:t>a beneficiary</w:t>
      </w:r>
      <w:r w:rsidR="00622495">
        <w:rPr>
          <w:rFonts w:ascii="Arial" w:hAnsi="Arial" w:cs="Arial"/>
        </w:rPr>
        <w:t>’s</w:t>
      </w:r>
      <w:r w:rsidR="00C62A9F">
        <w:rPr>
          <w:rFonts w:ascii="Arial" w:hAnsi="Arial" w:cs="Arial"/>
        </w:rPr>
        <w:t xml:space="preserve"> </w:t>
      </w:r>
      <w:r w:rsidRPr="27C222AE">
        <w:rPr>
          <w:rFonts w:ascii="Arial" w:hAnsi="Arial" w:cs="Arial"/>
        </w:rPr>
        <w:t xml:space="preserve">Medicare Advantage </w:t>
      </w:r>
      <w:r w:rsidR="00C62A9F">
        <w:rPr>
          <w:rFonts w:ascii="Arial" w:hAnsi="Arial" w:cs="Arial"/>
        </w:rPr>
        <w:t>P</w:t>
      </w:r>
      <w:r w:rsidRPr="27C222AE">
        <w:rPr>
          <w:rFonts w:ascii="Arial" w:hAnsi="Arial" w:cs="Arial"/>
        </w:rPr>
        <w:t>lan. Some medications, like</w:t>
      </w:r>
      <w:r w:rsidR="73F36326" w:rsidRPr="27C222AE">
        <w:rPr>
          <w:rFonts w:ascii="Arial" w:hAnsi="Arial" w:cs="Arial"/>
        </w:rPr>
        <w:t xml:space="preserve"> </w:t>
      </w:r>
      <w:r w:rsidR="73F36326" w:rsidRPr="0005451D">
        <w:rPr>
          <w:rFonts w:ascii="Arial" w:eastAsia="Arial" w:hAnsi="Arial" w:cs="Arial"/>
        </w:rPr>
        <w:t>Remdesivir</w:t>
      </w:r>
      <w:r w:rsidR="73F36326" w:rsidRPr="27C222AE">
        <w:rPr>
          <w:rFonts w:ascii="Arial" w:eastAsia="Arial" w:hAnsi="Arial" w:cs="Arial"/>
        </w:rPr>
        <w:t>, are administered by providers as injections or infusions and will be covered under Part B or a person’</w:t>
      </w:r>
      <w:r w:rsidR="08DC280A" w:rsidRPr="27C222AE">
        <w:rPr>
          <w:rFonts w:ascii="Arial" w:eastAsia="Arial" w:hAnsi="Arial" w:cs="Arial"/>
        </w:rPr>
        <w:t xml:space="preserve">s </w:t>
      </w:r>
      <w:r w:rsidR="00C62A9F">
        <w:rPr>
          <w:rFonts w:ascii="Arial" w:eastAsia="Arial" w:hAnsi="Arial" w:cs="Arial"/>
        </w:rPr>
        <w:t>Medicare Advantage Plan. C</w:t>
      </w:r>
      <w:r w:rsidR="08DC280A" w:rsidRPr="27C222AE">
        <w:rPr>
          <w:rFonts w:ascii="Arial" w:eastAsia="Arial" w:hAnsi="Arial" w:cs="Arial"/>
        </w:rPr>
        <w:t>ost</w:t>
      </w:r>
      <w:r w:rsidR="00C62A9F">
        <w:rPr>
          <w:rFonts w:ascii="Arial" w:eastAsia="Arial" w:hAnsi="Arial" w:cs="Arial"/>
        </w:rPr>
        <w:t>-</w:t>
      </w:r>
      <w:r w:rsidR="08DC280A" w:rsidRPr="27C222AE">
        <w:rPr>
          <w:rFonts w:ascii="Arial" w:eastAsia="Arial" w:hAnsi="Arial" w:cs="Arial"/>
        </w:rPr>
        <w:t xml:space="preserve">sharing may apply. </w:t>
      </w:r>
    </w:p>
    <w:p w14:paraId="3EB45F1D" w14:textId="77777777" w:rsidR="00C62A9F" w:rsidRDefault="00C62A9F" w:rsidP="0005451D">
      <w:pPr>
        <w:spacing w:line="276" w:lineRule="auto"/>
        <w:ind w:left="720"/>
        <w:rPr>
          <w:rFonts w:ascii="Arial" w:eastAsia="Arial" w:hAnsi="Arial" w:cs="Arial"/>
        </w:rPr>
      </w:pPr>
    </w:p>
    <w:p w14:paraId="0689253A" w14:textId="1518A0A5" w:rsidR="00B81A56" w:rsidRDefault="08DC280A" w:rsidP="0005451D">
      <w:pPr>
        <w:spacing w:line="276" w:lineRule="auto"/>
        <w:ind w:left="720"/>
        <w:rPr>
          <w:rFonts w:ascii="Arial" w:hAnsi="Arial" w:cs="Arial"/>
        </w:rPr>
      </w:pPr>
      <w:r w:rsidRPr="58554FF9">
        <w:rPr>
          <w:rFonts w:ascii="Arial" w:eastAsia="Arial" w:hAnsi="Arial" w:cs="Arial"/>
        </w:rPr>
        <w:t xml:space="preserve">For Paxlovid, which is available at pharmacies, </w:t>
      </w:r>
      <w:r w:rsidR="00662CC7" w:rsidRPr="58554FF9">
        <w:rPr>
          <w:rFonts w:ascii="Arial" w:eastAsia="Arial" w:hAnsi="Arial" w:cs="Arial"/>
        </w:rPr>
        <w:t xml:space="preserve">there is no </w:t>
      </w:r>
      <w:r w:rsidRPr="58554FF9">
        <w:rPr>
          <w:rFonts w:ascii="Arial" w:eastAsia="Arial" w:hAnsi="Arial" w:cs="Arial"/>
        </w:rPr>
        <w:t>cost</w:t>
      </w:r>
      <w:r w:rsidR="00662CC7" w:rsidRPr="58554FF9">
        <w:rPr>
          <w:rFonts w:ascii="Arial" w:eastAsia="Arial" w:hAnsi="Arial" w:cs="Arial"/>
        </w:rPr>
        <w:t>-</w:t>
      </w:r>
      <w:r w:rsidRPr="58554FF9">
        <w:rPr>
          <w:rFonts w:ascii="Arial" w:eastAsia="Arial" w:hAnsi="Arial" w:cs="Arial"/>
        </w:rPr>
        <w:t>sharing until the government</w:t>
      </w:r>
      <w:r w:rsidR="00C62A9F" w:rsidRPr="58554FF9">
        <w:rPr>
          <w:rFonts w:ascii="Arial" w:eastAsia="Arial" w:hAnsi="Arial" w:cs="Arial"/>
        </w:rPr>
        <w:t>-</w:t>
      </w:r>
      <w:r w:rsidRPr="58554FF9">
        <w:rPr>
          <w:rFonts w:ascii="Arial" w:eastAsia="Arial" w:hAnsi="Arial" w:cs="Arial"/>
        </w:rPr>
        <w:t>procur</w:t>
      </w:r>
      <w:r w:rsidR="00C62A9F" w:rsidRPr="58554FF9">
        <w:rPr>
          <w:rFonts w:ascii="Arial" w:eastAsia="Arial" w:hAnsi="Arial" w:cs="Arial"/>
        </w:rPr>
        <w:t>e</w:t>
      </w:r>
      <w:r w:rsidRPr="58554FF9">
        <w:rPr>
          <w:rFonts w:ascii="Arial" w:eastAsia="Arial" w:hAnsi="Arial" w:cs="Arial"/>
        </w:rPr>
        <w:t>d supply of the medication is exhausted</w:t>
      </w:r>
      <w:r w:rsidR="00C62A9F" w:rsidRPr="58554FF9">
        <w:rPr>
          <w:rFonts w:ascii="Arial" w:eastAsia="Arial" w:hAnsi="Arial" w:cs="Arial"/>
        </w:rPr>
        <w:t>.</w:t>
      </w:r>
      <w:r w:rsidRPr="58554FF9">
        <w:rPr>
          <w:rFonts w:ascii="Arial" w:eastAsia="Arial" w:hAnsi="Arial" w:cs="Arial"/>
        </w:rPr>
        <w:t xml:space="preserve"> </w:t>
      </w:r>
      <w:r w:rsidR="00622495" w:rsidRPr="58554FF9">
        <w:rPr>
          <w:rFonts w:ascii="Arial" w:eastAsia="Arial" w:hAnsi="Arial" w:cs="Arial"/>
        </w:rPr>
        <w:t>After the supply has b</w:t>
      </w:r>
      <w:r w:rsidR="001B4E82" w:rsidRPr="58554FF9">
        <w:rPr>
          <w:rFonts w:ascii="Arial" w:eastAsia="Arial" w:hAnsi="Arial" w:cs="Arial"/>
        </w:rPr>
        <w:t xml:space="preserve">een used, </w:t>
      </w:r>
      <w:r w:rsidRPr="58554FF9">
        <w:rPr>
          <w:rFonts w:ascii="Arial" w:eastAsia="Arial" w:hAnsi="Arial" w:cs="Arial"/>
        </w:rPr>
        <w:t xml:space="preserve">Part D plans must </w:t>
      </w:r>
      <w:r w:rsidR="00662CC7" w:rsidRPr="58554FF9">
        <w:rPr>
          <w:rFonts w:ascii="Arial" w:eastAsia="Arial" w:hAnsi="Arial" w:cs="Arial"/>
        </w:rPr>
        <w:t xml:space="preserve">then </w:t>
      </w:r>
      <w:r w:rsidRPr="58554FF9">
        <w:rPr>
          <w:rFonts w:ascii="Arial" w:eastAsia="Arial" w:hAnsi="Arial" w:cs="Arial"/>
        </w:rPr>
        <w:t xml:space="preserve">cover the medication, either as </w:t>
      </w:r>
      <w:r w:rsidR="51C7D9B0" w:rsidRPr="58554FF9">
        <w:rPr>
          <w:rFonts w:ascii="Arial" w:eastAsia="Arial" w:hAnsi="Arial" w:cs="Arial"/>
        </w:rPr>
        <w:t>a formulary drug or through the exceptions process. At that point, deductibles and copayments will apply.</w:t>
      </w:r>
    </w:p>
    <w:p w14:paraId="6ED31A29" w14:textId="77777777" w:rsidR="00C62A9F" w:rsidRDefault="00C62A9F" w:rsidP="00B81A56">
      <w:pPr>
        <w:spacing w:line="276" w:lineRule="auto"/>
        <w:rPr>
          <w:rFonts w:ascii="Arial" w:hAnsi="Arial" w:cs="Arial"/>
          <w:b/>
          <w:bCs/>
          <w:color w:val="000000"/>
          <w:sz w:val="28"/>
          <w:szCs w:val="28"/>
        </w:rPr>
      </w:pPr>
    </w:p>
    <w:p w14:paraId="193D2A60" w14:textId="6BCE9265" w:rsidR="00B81A56" w:rsidRDefault="00947DD6" w:rsidP="00B81A56">
      <w:pPr>
        <w:spacing w:line="276" w:lineRule="auto"/>
        <w:rPr>
          <w:rFonts w:ascii="Arial" w:hAnsi="Arial" w:cs="Arial"/>
          <w:b/>
          <w:bCs/>
          <w:color w:val="000000"/>
          <w:sz w:val="28"/>
          <w:szCs w:val="28"/>
        </w:rPr>
      </w:pPr>
      <w:r>
        <w:rPr>
          <w:rFonts w:ascii="Arial" w:hAnsi="Arial" w:cs="Arial"/>
          <w:b/>
          <w:bCs/>
          <w:color w:val="000000"/>
          <w:sz w:val="28"/>
          <w:szCs w:val="28"/>
        </w:rPr>
        <w:t xml:space="preserve">Skilled nursing facility (SNF) </w:t>
      </w:r>
      <w:r w:rsidR="00463E86" w:rsidRPr="00463E86">
        <w:rPr>
          <w:rFonts w:ascii="Arial" w:hAnsi="Arial" w:cs="Arial"/>
          <w:b/>
          <w:bCs/>
          <w:color w:val="000000"/>
          <w:sz w:val="28"/>
          <w:szCs w:val="28"/>
        </w:rPr>
        <w:t>care</w:t>
      </w:r>
    </w:p>
    <w:p w14:paraId="0E57FA32" w14:textId="6CD78FBD" w:rsidR="00DD5320" w:rsidRDefault="000D04D5" w:rsidP="00DD5320">
      <w:pPr>
        <w:spacing w:line="276" w:lineRule="auto"/>
        <w:rPr>
          <w:rFonts w:ascii="Arial" w:hAnsi="Arial" w:cs="Arial"/>
        </w:rPr>
      </w:pPr>
      <w:r w:rsidRPr="63F5A810">
        <w:rPr>
          <w:rFonts w:ascii="Arial" w:hAnsi="Arial" w:cs="Arial"/>
        </w:rPr>
        <w:t>During the PHE, there were two waivers related to SNF car</w:t>
      </w:r>
      <w:r w:rsidR="00DD5320" w:rsidRPr="63F5A810">
        <w:rPr>
          <w:rFonts w:ascii="Arial" w:hAnsi="Arial" w:cs="Arial"/>
        </w:rPr>
        <w:t xml:space="preserve">e. </w:t>
      </w:r>
      <w:r w:rsidR="00DD5320" w:rsidRPr="63F5A810">
        <w:rPr>
          <w:rFonts w:ascii="Arial" w:hAnsi="Arial" w:cs="Arial"/>
          <w:b/>
          <w:bCs/>
        </w:rPr>
        <w:t>After May 11, 2023, these two waivers will no longer apply:</w:t>
      </w:r>
    </w:p>
    <w:p w14:paraId="45297023" w14:textId="6025FA46" w:rsidR="00415B8B" w:rsidRDefault="00415B8B" w:rsidP="001000AC">
      <w:pPr>
        <w:spacing w:line="276" w:lineRule="auto"/>
        <w:rPr>
          <w:rFonts w:ascii="Arial" w:hAnsi="Arial" w:cs="Arial"/>
        </w:rPr>
      </w:pPr>
    </w:p>
    <w:p w14:paraId="27238515" w14:textId="24B22F89" w:rsidR="00415B8B" w:rsidRPr="00DA796A" w:rsidRDefault="00415B8B" w:rsidP="00415B8B">
      <w:pPr>
        <w:pStyle w:val="ListParagraph"/>
        <w:numPr>
          <w:ilvl w:val="0"/>
          <w:numId w:val="15"/>
        </w:numPr>
        <w:spacing w:line="276" w:lineRule="auto"/>
        <w:rPr>
          <w:rFonts w:ascii="Arial" w:hAnsi="Arial" w:cs="Arial"/>
          <w:sz w:val="24"/>
          <w:szCs w:val="24"/>
        </w:rPr>
      </w:pPr>
      <w:r w:rsidRPr="63F5A810">
        <w:rPr>
          <w:rFonts w:ascii="Arial" w:hAnsi="Arial" w:cs="Arial"/>
          <w:b/>
          <w:bCs/>
          <w:sz w:val="24"/>
          <w:szCs w:val="24"/>
        </w:rPr>
        <w:t xml:space="preserve">Three-day qualifying hospital stay. </w:t>
      </w:r>
      <w:r w:rsidR="001000AC" w:rsidRPr="63F5A810">
        <w:rPr>
          <w:rFonts w:ascii="Arial" w:hAnsi="Arial" w:cs="Arial"/>
          <w:sz w:val="24"/>
          <w:szCs w:val="24"/>
        </w:rPr>
        <w:t>Medicare Part A generally only covers skilled nursing facility (SNF) care if someone was a hospital inpatient for three days in a row before entering the SNF. This is known as the three-day qualifying hospital stay. During the PHE, Medicare removed the three-day qualifying hospital stay requirement for beneficiaries who experienced dislocations or</w:t>
      </w:r>
      <w:r w:rsidR="420D71A3" w:rsidRPr="63F5A810">
        <w:rPr>
          <w:rFonts w:ascii="Arial" w:hAnsi="Arial" w:cs="Arial"/>
          <w:sz w:val="24"/>
          <w:szCs w:val="24"/>
        </w:rPr>
        <w:t xml:space="preserve"> were</w:t>
      </w:r>
      <w:r w:rsidR="001000AC" w:rsidRPr="63F5A810">
        <w:rPr>
          <w:rFonts w:ascii="Arial" w:hAnsi="Arial" w:cs="Arial"/>
          <w:sz w:val="24"/>
          <w:szCs w:val="24"/>
        </w:rPr>
        <w:t xml:space="preserve"> otherwise affected by the COVID-19 public health emergency. </w:t>
      </w:r>
      <w:r w:rsidR="1B112730" w:rsidRPr="63F5A810">
        <w:rPr>
          <w:rFonts w:ascii="Arial" w:hAnsi="Arial" w:cs="Arial"/>
          <w:sz w:val="24"/>
          <w:szCs w:val="24"/>
        </w:rPr>
        <w:t>This waiver ended on May 11</w:t>
      </w:r>
      <w:r w:rsidR="001B4E82">
        <w:rPr>
          <w:rFonts w:ascii="Arial" w:hAnsi="Arial" w:cs="Arial"/>
          <w:sz w:val="24"/>
          <w:szCs w:val="24"/>
        </w:rPr>
        <w:t>, 2023</w:t>
      </w:r>
      <w:r w:rsidR="1B112730" w:rsidRPr="63F5A810">
        <w:rPr>
          <w:rFonts w:ascii="Arial" w:hAnsi="Arial" w:cs="Arial"/>
          <w:sz w:val="24"/>
          <w:szCs w:val="24"/>
        </w:rPr>
        <w:t xml:space="preserve">. </w:t>
      </w:r>
    </w:p>
    <w:p w14:paraId="5694B6E5" w14:textId="5F2BD01B" w:rsidR="001000AC" w:rsidRPr="00DC3F70" w:rsidRDefault="00415B8B" w:rsidP="00DD5320">
      <w:pPr>
        <w:pStyle w:val="ListParagraph"/>
        <w:numPr>
          <w:ilvl w:val="0"/>
          <w:numId w:val="15"/>
        </w:numPr>
        <w:spacing w:after="0" w:line="276" w:lineRule="auto"/>
        <w:rPr>
          <w:rFonts w:ascii="Arial" w:hAnsi="Arial" w:cs="Arial"/>
          <w:sz w:val="24"/>
          <w:szCs w:val="24"/>
        </w:rPr>
      </w:pPr>
      <w:r w:rsidRPr="63F5A810">
        <w:rPr>
          <w:rFonts w:ascii="Arial" w:hAnsi="Arial" w:cs="Arial"/>
          <w:b/>
          <w:bCs/>
        </w:rPr>
        <w:t xml:space="preserve">Benefit period. </w:t>
      </w:r>
      <w:r w:rsidR="001000AC" w:rsidRPr="63F5A810">
        <w:rPr>
          <w:rFonts w:ascii="Arial" w:hAnsi="Arial" w:cs="Arial"/>
          <w:sz w:val="24"/>
          <w:szCs w:val="24"/>
        </w:rPr>
        <w:t>Typically, Medicare Part A covers up to 100 days of SNF care each benefit period. A benefit period begins when a beneficiary is admitted to a hospital as an inpatient, or to a SNF, and it ends when they have been out of a SNF or hospital for at least 60 days in a row. The 100 days of covered SNF care reset</w:t>
      </w:r>
      <w:r w:rsidR="29350EC0" w:rsidRPr="63F5A810">
        <w:rPr>
          <w:rFonts w:ascii="Arial" w:hAnsi="Arial" w:cs="Arial"/>
          <w:sz w:val="24"/>
          <w:szCs w:val="24"/>
        </w:rPr>
        <w:t>s</w:t>
      </w:r>
      <w:r w:rsidR="001000AC" w:rsidRPr="63F5A810">
        <w:rPr>
          <w:rFonts w:ascii="Arial" w:hAnsi="Arial" w:cs="Arial"/>
          <w:sz w:val="24"/>
          <w:szCs w:val="24"/>
        </w:rPr>
        <w:t xml:space="preserve"> at the beginning of a new benefit period. </w:t>
      </w:r>
      <w:r w:rsidR="00D23661" w:rsidRPr="63F5A810">
        <w:rPr>
          <w:rFonts w:ascii="Arial" w:hAnsi="Arial" w:cs="Arial"/>
          <w:sz w:val="24"/>
          <w:szCs w:val="24"/>
        </w:rPr>
        <w:t>During the PHE, b</w:t>
      </w:r>
      <w:r w:rsidR="001000AC" w:rsidRPr="63F5A810">
        <w:rPr>
          <w:rFonts w:ascii="Arial" w:hAnsi="Arial" w:cs="Arial"/>
          <w:sz w:val="24"/>
          <w:szCs w:val="24"/>
        </w:rPr>
        <w:t xml:space="preserve">eneficiaries who </w:t>
      </w:r>
      <w:r w:rsidR="00DD5320" w:rsidRPr="63F5A810">
        <w:rPr>
          <w:rFonts w:ascii="Arial" w:hAnsi="Arial" w:cs="Arial"/>
          <w:sz w:val="24"/>
          <w:szCs w:val="24"/>
        </w:rPr>
        <w:t>we</w:t>
      </w:r>
      <w:r w:rsidR="001000AC" w:rsidRPr="63F5A810">
        <w:rPr>
          <w:rFonts w:ascii="Arial" w:hAnsi="Arial" w:cs="Arial"/>
          <w:sz w:val="24"/>
          <w:szCs w:val="24"/>
        </w:rPr>
        <w:t>re unable to start a new benefit period because of the public health emergency c</w:t>
      </w:r>
      <w:r w:rsidR="00DD5320" w:rsidRPr="63F5A810">
        <w:rPr>
          <w:rFonts w:ascii="Arial" w:hAnsi="Arial" w:cs="Arial"/>
          <w:sz w:val="24"/>
          <w:szCs w:val="24"/>
        </w:rPr>
        <w:t>ould</w:t>
      </w:r>
      <w:r w:rsidR="001000AC" w:rsidRPr="63F5A810">
        <w:rPr>
          <w:rFonts w:ascii="Arial" w:hAnsi="Arial" w:cs="Arial"/>
          <w:sz w:val="24"/>
          <w:szCs w:val="24"/>
        </w:rPr>
        <w:t xml:space="preserve"> get another 100 days of covered SNF care without having to begin a new benefit period. </w:t>
      </w:r>
      <w:r w:rsidR="001B4E82">
        <w:rPr>
          <w:rFonts w:ascii="Arial" w:hAnsi="Arial" w:cs="Arial"/>
          <w:sz w:val="24"/>
          <w:szCs w:val="24"/>
        </w:rPr>
        <w:t xml:space="preserve">This waiver ended on May 11, 2023. </w:t>
      </w:r>
    </w:p>
    <w:p w14:paraId="580198A1" w14:textId="77777777" w:rsidR="00DD5320" w:rsidRDefault="00DD5320" w:rsidP="00DC3F70">
      <w:pPr>
        <w:spacing w:line="276" w:lineRule="auto"/>
        <w:rPr>
          <w:rFonts w:ascii="Arial" w:hAnsi="Arial" w:cs="Arial"/>
          <w:b/>
          <w:bCs/>
        </w:rPr>
      </w:pPr>
    </w:p>
    <w:p w14:paraId="17C3D414" w14:textId="4C5C4329" w:rsidR="00DA51E7" w:rsidRDefault="00DA51E7" w:rsidP="00DC3F70">
      <w:pPr>
        <w:spacing w:line="276" w:lineRule="auto"/>
        <w:rPr>
          <w:rFonts w:ascii="Arial" w:hAnsi="Arial" w:cs="Arial"/>
        </w:rPr>
      </w:pPr>
      <w:r>
        <w:rPr>
          <w:rFonts w:ascii="Arial" w:hAnsi="Arial" w:cs="Arial"/>
        </w:rPr>
        <w:t xml:space="preserve">If a beneficiary has a Medicare Advantage Plan, they should contact their plan directly to learn how it covers SNF care. </w:t>
      </w:r>
    </w:p>
    <w:p w14:paraId="2D35C78B" w14:textId="77777777" w:rsidR="0067773D" w:rsidRDefault="0067773D" w:rsidP="00DA796A">
      <w:pPr>
        <w:spacing w:line="276" w:lineRule="auto"/>
        <w:rPr>
          <w:rFonts w:ascii="Arial" w:hAnsi="Arial" w:cs="Arial"/>
        </w:rPr>
      </w:pPr>
    </w:p>
    <w:p w14:paraId="3B5E6457" w14:textId="77777777" w:rsidR="0067773D" w:rsidRPr="00D83D79" w:rsidRDefault="0067773D" w:rsidP="0067773D">
      <w:pPr>
        <w:spacing w:line="276" w:lineRule="auto"/>
        <w:rPr>
          <w:rFonts w:ascii="Arial" w:hAnsi="Arial" w:cs="Arial"/>
          <w:b/>
          <w:sz w:val="28"/>
          <w:szCs w:val="28"/>
        </w:rPr>
      </w:pPr>
      <w:r w:rsidRPr="00D83D79">
        <w:rPr>
          <w:rFonts w:ascii="Arial" w:hAnsi="Arial" w:cs="Arial"/>
          <w:b/>
          <w:sz w:val="28"/>
          <w:szCs w:val="28"/>
        </w:rPr>
        <w:t>Telehealth services</w:t>
      </w:r>
    </w:p>
    <w:p w14:paraId="51CEC9D8" w14:textId="195E836D" w:rsidR="003234EE" w:rsidRDefault="0067773D" w:rsidP="0088773A">
      <w:pPr>
        <w:spacing w:line="276" w:lineRule="auto"/>
        <w:rPr>
          <w:rFonts w:ascii="Arial" w:hAnsi="Arial" w:cs="Arial"/>
        </w:rPr>
      </w:pPr>
      <w:r w:rsidRPr="63F5A810">
        <w:rPr>
          <w:rFonts w:ascii="Arial" w:hAnsi="Arial" w:cs="Arial"/>
        </w:rPr>
        <w:t xml:space="preserve">A telehealth service is a full visit with a provider using telephone or video technology. </w:t>
      </w:r>
      <w:r w:rsidR="00A810A2">
        <w:rPr>
          <w:rFonts w:ascii="Arial" w:hAnsi="Arial" w:cs="Arial"/>
        </w:rPr>
        <w:t xml:space="preserve">Before the </w:t>
      </w:r>
      <w:r w:rsidR="3C2B0D61" w:rsidRPr="63F5A810">
        <w:rPr>
          <w:rFonts w:ascii="Arial" w:hAnsi="Arial" w:cs="Arial"/>
        </w:rPr>
        <w:t xml:space="preserve">PHE, </w:t>
      </w:r>
      <w:r w:rsidRPr="63F5A810">
        <w:rPr>
          <w:rFonts w:ascii="Arial" w:hAnsi="Arial" w:cs="Arial"/>
        </w:rPr>
        <w:t>Medicare telehealth</w:t>
      </w:r>
      <w:r w:rsidR="70776C75" w:rsidRPr="63F5A810">
        <w:rPr>
          <w:rFonts w:ascii="Arial" w:hAnsi="Arial" w:cs="Arial"/>
        </w:rPr>
        <w:t xml:space="preserve"> coverage rules were </w:t>
      </w:r>
      <w:r w:rsidRPr="63F5A810">
        <w:rPr>
          <w:rFonts w:ascii="Arial" w:hAnsi="Arial" w:cs="Arial"/>
        </w:rPr>
        <w:t>limited</w:t>
      </w:r>
      <w:r w:rsidR="29FFAE79" w:rsidRPr="63F5A810">
        <w:rPr>
          <w:rFonts w:ascii="Arial" w:hAnsi="Arial" w:cs="Arial"/>
        </w:rPr>
        <w:t>.</w:t>
      </w:r>
      <w:r w:rsidRPr="63F5A810">
        <w:rPr>
          <w:rFonts w:ascii="Arial" w:hAnsi="Arial" w:cs="Arial"/>
        </w:rPr>
        <w:t xml:space="preserve"> </w:t>
      </w:r>
      <w:r w:rsidR="70481A04" w:rsidRPr="63F5A810">
        <w:rPr>
          <w:rFonts w:ascii="Arial" w:hAnsi="Arial" w:cs="Arial"/>
        </w:rPr>
        <w:t>D</w:t>
      </w:r>
      <w:r w:rsidRPr="63F5A810">
        <w:rPr>
          <w:rFonts w:ascii="Arial" w:hAnsi="Arial" w:cs="Arial"/>
        </w:rPr>
        <w:t xml:space="preserve">uring the </w:t>
      </w:r>
      <w:r w:rsidR="004C7B5B">
        <w:rPr>
          <w:rFonts w:ascii="Arial" w:hAnsi="Arial" w:cs="Arial"/>
        </w:rPr>
        <w:t>PHE</w:t>
      </w:r>
      <w:r w:rsidR="09BAC492" w:rsidRPr="63F5A810">
        <w:rPr>
          <w:rFonts w:ascii="Arial" w:hAnsi="Arial" w:cs="Arial"/>
        </w:rPr>
        <w:t>, the situations in which Medicare would pay for telehealth</w:t>
      </w:r>
      <w:r w:rsidR="004C7B5B">
        <w:rPr>
          <w:rFonts w:ascii="Arial" w:hAnsi="Arial" w:cs="Arial"/>
        </w:rPr>
        <w:t>-</w:t>
      </w:r>
      <w:r w:rsidR="09BAC492" w:rsidRPr="63F5A810">
        <w:rPr>
          <w:rFonts w:ascii="Arial" w:hAnsi="Arial" w:cs="Arial"/>
        </w:rPr>
        <w:t>provided services expanded significantly</w:t>
      </w:r>
      <w:r w:rsidRPr="63F5A810">
        <w:rPr>
          <w:rFonts w:ascii="Arial" w:hAnsi="Arial" w:cs="Arial"/>
        </w:rPr>
        <w:t xml:space="preserve">. </w:t>
      </w:r>
      <w:r w:rsidR="306644DD" w:rsidRPr="63F5A810">
        <w:rPr>
          <w:rFonts w:ascii="Arial" w:hAnsi="Arial" w:cs="Arial"/>
        </w:rPr>
        <w:t>S</w:t>
      </w:r>
      <w:r w:rsidR="005036C2" w:rsidRPr="63F5A810">
        <w:rPr>
          <w:rFonts w:ascii="Arial" w:hAnsi="Arial" w:cs="Arial"/>
        </w:rPr>
        <w:t>ervices</w:t>
      </w:r>
      <w:r w:rsidR="1B43F701" w:rsidRPr="63F5A810">
        <w:rPr>
          <w:rFonts w:ascii="Arial" w:hAnsi="Arial" w:cs="Arial"/>
        </w:rPr>
        <w:t xml:space="preserve"> that can be provided throug</w:t>
      </w:r>
      <w:r w:rsidR="001B4E82">
        <w:rPr>
          <w:rFonts w:ascii="Arial" w:hAnsi="Arial" w:cs="Arial"/>
        </w:rPr>
        <w:t>h</w:t>
      </w:r>
      <w:r w:rsidR="1B43F701" w:rsidRPr="63F5A810">
        <w:rPr>
          <w:rFonts w:ascii="Arial" w:hAnsi="Arial" w:cs="Arial"/>
        </w:rPr>
        <w:t xml:space="preserve"> telehealth</w:t>
      </w:r>
      <w:r w:rsidR="005036C2" w:rsidRPr="63F5A810">
        <w:rPr>
          <w:rFonts w:ascii="Arial" w:hAnsi="Arial" w:cs="Arial"/>
        </w:rPr>
        <w:t xml:space="preserve"> include</w:t>
      </w:r>
      <w:r w:rsidR="41906FDF" w:rsidRPr="63F5A810">
        <w:rPr>
          <w:rFonts w:ascii="Arial" w:hAnsi="Arial" w:cs="Arial"/>
        </w:rPr>
        <w:t xml:space="preserve">, for example, </w:t>
      </w:r>
      <w:r w:rsidR="005036C2" w:rsidRPr="63F5A810">
        <w:rPr>
          <w:rFonts w:ascii="Arial" w:hAnsi="Arial" w:cs="Arial"/>
        </w:rPr>
        <w:t xml:space="preserve">hospital and doctors’ office visits, mental health counseling, </w:t>
      </w:r>
      <w:r w:rsidR="30672D78" w:rsidRPr="63F5A810">
        <w:rPr>
          <w:rFonts w:ascii="Arial" w:hAnsi="Arial" w:cs="Arial"/>
        </w:rPr>
        <w:t xml:space="preserve">and </w:t>
      </w:r>
      <w:r w:rsidR="005036C2" w:rsidRPr="63F5A810">
        <w:rPr>
          <w:rFonts w:ascii="Arial" w:hAnsi="Arial" w:cs="Arial"/>
        </w:rPr>
        <w:t xml:space="preserve">preventive screenings. </w:t>
      </w:r>
    </w:p>
    <w:p w14:paraId="0F5CFCF1" w14:textId="77777777" w:rsidR="003234EE" w:rsidRDefault="003234EE" w:rsidP="0088773A">
      <w:pPr>
        <w:spacing w:line="276" w:lineRule="auto"/>
        <w:rPr>
          <w:rFonts w:ascii="Arial" w:hAnsi="Arial" w:cs="Arial"/>
        </w:rPr>
      </w:pPr>
    </w:p>
    <w:p w14:paraId="62EE646E" w14:textId="5BC7D130" w:rsidR="0088773A" w:rsidRDefault="005036C2" w:rsidP="0088773A">
      <w:pPr>
        <w:spacing w:line="276" w:lineRule="auto"/>
        <w:rPr>
          <w:rFonts w:ascii="Arial" w:hAnsi="Arial" w:cs="Arial"/>
          <w:b/>
          <w:bCs/>
        </w:rPr>
      </w:pPr>
      <w:r w:rsidRPr="63F5A810">
        <w:rPr>
          <w:rFonts w:ascii="Arial" w:hAnsi="Arial" w:cs="Arial"/>
          <w:b/>
          <w:bCs/>
        </w:rPr>
        <w:lastRenderedPageBreak/>
        <w:t xml:space="preserve">Expanded </w:t>
      </w:r>
      <w:r w:rsidR="00166FCD" w:rsidRPr="63F5A810">
        <w:rPr>
          <w:rFonts w:ascii="Arial" w:hAnsi="Arial" w:cs="Arial"/>
          <w:b/>
          <w:bCs/>
        </w:rPr>
        <w:t xml:space="preserve">coverage </w:t>
      </w:r>
      <w:r w:rsidRPr="63F5A810">
        <w:rPr>
          <w:rFonts w:ascii="Arial" w:hAnsi="Arial" w:cs="Arial"/>
          <w:b/>
          <w:bCs/>
        </w:rPr>
        <w:t xml:space="preserve">for telehealth </w:t>
      </w:r>
      <w:r w:rsidR="009A36C6" w:rsidRPr="63F5A810">
        <w:rPr>
          <w:rFonts w:ascii="Arial" w:hAnsi="Arial" w:cs="Arial"/>
          <w:b/>
          <w:bCs/>
        </w:rPr>
        <w:t xml:space="preserve">will </w:t>
      </w:r>
      <w:r w:rsidR="0CD4DFEF" w:rsidRPr="63F5A810">
        <w:rPr>
          <w:rFonts w:ascii="Arial" w:hAnsi="Arial" w:cs="Arial"/>
          <w:b/>
          <w:bCs/>
        </w:rPr>
        <w:t>continue past the end of the PHE</w:t>
      </w:r>
      <w:r w:rsidR="001B4E82">
        <w:rPr>
          <w:rFonts w:ascii="Arial" w:hAnsi="Arial" w:cs="Arial"/>
          <w:b/>
          <w:bCs/>
        </w:rPr>
        <w:t>. Through December 31, 2024:</w:t>
      </w:r>
    </w:p>
    <w:p w14:paraId="055D2661" w14:textId="77777777" w:rsidR="005036C2" w:rsidRDefault="00166FCD" w:rsidP="00E22B8E">
      <w:pPr>
        <w:pStyle w:val="ListParagraph"/>
        <w:numPr>
          <w:ilvl w:val="0"/>
          <w:numId w:val="1"/>
        </w:numPr>
        <w:spacing w:line="276" w:lineRule="auto"/>
        <w:ind w:left="1080"/>
        <w:rPr>
          <w:rFonts w:ascii="Arial" w:hAnsi="Arial" w:cs="Arial"/>
          <w:sz w:val="24"/>
          <w:szCs w:val="24"/>
        </w:rPr>
      </w:pPr>
      <w:r>
        <w:rPr>
          <w:rFonts w:ascii="Arial" w:hAnsi="Arial" w:cs="Arial"/>
          <w:sz w:val="24"/>
          <w:szCs w:val="24"/>
        </w:rPr>
        <w:t xml:space="preserve">Medicare covers telehealth services for beneficiaries </w:t>
      </w:r>
      <w:r w:rsidR="005036C2">
        <w:rPr>
          <w:rFonts w:ascii="Arial" w:hAnsi="Arial" w:cs="Arial"/>
          <w:sz w:val="24"/>
          <w:szCs w:val="24"/>
        </w:rPr>
        <w:t>in urban and rural areas</w:t>
      </w:r>
    </w:p>
    <w:p w14:paraId="25E6EA8E" w14:textId="61CBE410" w:rsidR="00166FCD" w:rsidRDefault="005036C2" w:rsidP="00E22B8E">
      <w:pPr>
        <w:pStyle w:val="ListParagraph"/>
        <w:numPr>
          <w:ilvl w:val="0"/>
          <w:numId w:val="1"/>
        </w:numPr>
        <w:spacing w:line="276" w:lineRule="auto"/>
        <w:ind w:left="1080"/>
        <w:rPr>
          <w:rFonts w:ascii="Arial" w:hAnsi="Arial" w:cs="Arial"/>
          <w:sz w:val="24"/>
          <w:szCs w:val="24"/>
        </w:rPr>
      </w:pPr>
      <w:r>
        <w:rPr>
          <w:rFonts w:ascii="Arial" w:hAnsi="Arial" w:cs="Arial"/>
          <w:sz w:val="24"/>
          <w:szCs w:val="24"/>
        </w:rPr>
        <w:t xml:space="preserve">Medicare covers telehealth services </w:t>
      </w:r>
      <w:r w:rsidR="00166FCD">
        <w:rPr>
          <w:rFonts w:ascii="Arial" w:hAnsi="Arial" w:cs="Arial"/>
          <w:sz w:val="24"/>
          <w:szCs w:val="24"/>
        </w:rPr>
        <w:t>in health care settings and in a beneficiary’s home</w:t>
      </w:r>
    </w:p>
    <w:p w14:paraId="1904BF51" w14:textId="1587E4B5" w:rsidR="001B4E82" w:rsidRDefault="0067773D" w:rsidP="0005451D">
      <w:pPr>
        <w:spacing w:line="276" w:lineRule="auto"/>
        <w:ind w:left="720"/>
        <w:rPr>
          <w:rFonts w:ascii="Arial" w:hAnsi="Arial" w:cs="Arial"/>
        </w:rPr>
      </w:pPr>
      <w:r w:rsidRPr="63F5A810">
        <w:rPr>
          <w:rFonts w:ascii="Arial" w:hAnsi="Arial" w:cs="Arial"/>
        </w:rPr>
        <w:t xml:space="preserve">Standard cost-sharing may </w:t>
      </w:r>
      <w:proofErr w:type="gramStart"/>
      <w:r w:rsidRPr="63F5A810">
        <w:rPr>
          <w:rFonts w:ascii="Arial" w:hAnsi="Arial" w:cs="Arial"/>
        </w:rPr>
        <w:t>apply</w:t>
      </w:r>
      <w:r w:rsidR="005E2CC4">
        <w:rPr>
          <w:rFonts w:ascii="Arial" w:hAnsi="Arial" w:cs="Arial"/>
        </w:rPr>
        <w:t>,</w:t>
      </w:r>
      <w:r w:rsidRPr="63F5A810">
        <w:rPr>
          <w:rFonts w:ascii="Arial" w:hAnsi="Arial" w:cs="Arial"/>
        </w:rPr>
        <w:t xml:space="preserve"> but</w:t>
      </w:r>
      <w:proofErr w:type="gramEnd"/>
      <w:r w:rsidRPr="63F5A810">
        <w:rPr>
          <w:rFonts w:ascii="Arial" w:hAnsi="Arial" w:cs="Arial"/>
        </w:rPr>
        <w:t xml:space="preserve"> note that a provider can choose to waive cost-sharing charges. If a beneficiary has a Medicare Advantage Plan, they should contact their plan to learn about its costs and coverage rules</w:t>
      </w:r>
      <w:r w:rsidR="6F0B2A0E" w:rsidRPr="63F5A810">
        <w:rPr>
          <w:rFonts w:ascii="Arial" w:hAnsi="Arial" w:cs="Arial"/>
        </w:rPr>
        <w:t xml:space="preserve"> for services received through telehealth</w:t>
      </w:r>
      <w:r w:rsidRPr="63F5A810">
        <w:rPr>
          <w:rFonts w:ascii="Arial" w:hAnsi="Arial" w:cs="Arial"/>
        </w:rPr>
        <w:t xml:space="preserve">.  </w:t>
      </w:r>
    </w:p>
    <w:p w14:paraId="2F1920C5" w14:textId="77777777" w:rsidR="001B4E82" w:rsidRDefault="001B4E82" w:rsidP="00E22B8E">
      <w:pPr>
        <w:spacing w:line="276" w:lineRule="auto"/>
        <w:ind w:left="360"/>
        <w:rPr>
          <w:rFonts w:ascii="Arial" w:hAnsi="Arial" w:cs="Arial"/>
        </w:rPr>
      </w:pPr>
    </w:p>
    <w:p w14:paraId="74C469C1" w14:textId="59E4AF82" w:rsidR="001B4E82" w:rsidRDefault="00F62976" w:rsidP="001B4E82">
      <w:pPr>
        <w:spacing w:line="276" w:lineRule="auto"/>
        <w:ind w:left="720"/>
        <w:rPr>
          <w:rFonts w:ascii="Arial" w:eastAsia="Times New Roman" w:hAnsi="Arial" w:cs="Arial"/>
        </w:rPr>
      </w:pPr>
      <w:r w:rsidRPr="63F5A810">
        <w:rPr>
          <w:rFonts w:ascii="Arial" w:eastAsia="Times New Roman" w:hAnsi="Arial" w:cs="Arial"/>
        </w:rPr>
        <w:t xml:space="preserve">Medicare Advantage Plans must cover </w:t>
      </w:r>
      <w:r w:rsidR="005E2CC4" w:rsidRPr="63F5A810">
        <w:rPr>
          <w:rFonts w:ascii="Arial" w:eastAsia="Times New Roman" w:hAnsi="Arial" w:cs="Arial"/>
        </w:rPr>
        <w:t>all</w:t>
      </w:r>
      <w:r w:rsidRPr="63F5A810">
        <w:rPr>
          <w:rFonts w:ascii="Arial" w:eastAsia="Times New Roman" w:hAnsi="Arial" w:cs="Arial"/>
        </w:rPr>
        <w:t xml:space="preserve"> the telehealth benefits included in Original Medicare, but they may also cover additional telehealth benefits. </w:t>
      </w:r>
    </w:p>
    <w:p w14:paraId="6DB398A3" w14:textId="77777777" w:rsidR="001B4E82" w:rsidRDefault="001B4E82" w:rsidP="00E22B8E">
      <w:pPr>
        <w:spacing w:line="276" w:lineRule="auto"/>
        <w:ind w:left="720"/>
        <w:rPr>
          <w:rFonts w:ascii="Arial" w:eastAsia="Times New Roman" w:hAnsi="Arial" w:cs="Arial"/>
        </w:rPr>
      </w:pPr>
    </w:p>
    <w:p w14:paraId="7BC788DE" w14:textId="2A7F8B83" w:rsidR="00772625" w:rsidRDefault="00772625" w:rsidP="00F62976">
      <w:pPr>
        <w:spacing w:line="276" w:lineRule="auto"/>
        <w:rPr>
          <w:rFonts w:ascii="Arial" w:eastAsia="Times New Roman" w:hAnsi="Arial" w:cs="Arial"/>
          <w:b/>
          <w:bCs/>
        </w:rPr>
      </w:pPr>
      <w:r w:rsidRPr="00772625">
        <w:rPr>
          <w:rFonts w:ascii="Arial" w:eastAsia="Times New Roman" w:hAnsi="Arial" w:cs="Arial"/>
          <w:b/>
          <w:bCs/>
        </w:rPr>
        <w:t>Telehealth and durable medical equipment</w:t>
      </w:r>
      <w:r>
        <w:rPr>
          <w:rFonts w:ascii="Arial" w:eastAsia="Times New Roman" w:hAnsi="Arial" w:cs="Arial"/>
          <w:b/>
          <w:bCs/>
        </w:rPr>
        <w:t xml:space="preserve"> (DME)</w:t>
      </w:r>
    </w:p>
    <w:p w14:paraId="02A4BA05" w14:textId="352E06F0" w:rsidR="00772625" w:rsidRDefault="00772625" w:rsidP="00E22B8E">
      <w:pPr>
        <w:spacing w:line="276" w:lineRule="auto"/>
        <w:ind w:left="720"/>
        <w:rPr>
          <w:rFonts w:ascii="Arial" w:eastAsia="Times New Roman" w:hAnsi="Arial" w:cs="Arial"/>
        </w:rPr>
      </w:pPr>
      <w:r w:rsidRPr="63F5A810">
        <w:rPr>
          <w:rFonts w:ascii="Arial" w:eastAsia="Times New Roman" w:hAnsi="Arial" w:cs="Arial"/>
        </w:rPr>
        <w:t xml:space="preserve">Medicare requires a face-to-face meeting for coverage of most DME. This face-to-face meeting can be met via telehealth </w:t>
      </w:r>
      <w:r w:rsidR="005E2CC4" w:rsidRPr="63F5A810">
        <w:rPr>
          <w:rFonts w:ascii="Arial" w:eastAsia="Times New Roman" w:hAnsi="Arial" w:cs="Arial"/>
        </w:rPr>
        <w:t>if</w:t>
      </w:r>
      <w:r w:rsidR="12E4E61B" w:rsidRPr="63F5A810">
        <w:rPr>
          <w:rFonts w:ascii="Arial" w:eastAsia="Times New Roman" w:hAnsi="Arial" w:cs="Arial"/>
        </w:rPr>
        <w:t xml:space="preserve"> the appointment</w:t>
      </w:r>
      <w:r w:rsidR="00C34AC4" w:rsidRPr="63F5A810">
        <w:rPr>
          <w:rFonts w:ascii="Arial" w:eastAsia="Times New Roman" w:hAnsi="Arial" w:cs="Arial"/>
        </w:rPr>
        <w:t xml:space="preserve"> meets the requirements to be a covered telehealth visit. </w:t>
      </w:r>
      <w:r w:rsidR="004565D2" w:rsidRPr="63F5A810">
        <w:rPr>
          <w:rFonts w:ascii="Arial" w:eastAsia="Times New Roman" w:hAnsi="Arial" w:cs="Arial"/>
        </w:rPr>
        <w:t>For example, t</w:t>
      </w:r>
      <w:r w:rsidR="00C34AC4" w:rsidRPr="63F5A810">
        <w:rPr>
          <w:rFonts w:ascii="Arial" w:eastAsia="Times New Roman" w:hAnsi="Arial" w:cs="Arial"/>
        </w:rPr>
        <w:t xml:space="preserve">hrough December 31, 2024, </w:t>
      </w:r>
      <w:r w:rsidR="006C101B" w:rsidRPr="63F5A810">
        <w:rPr>
          <w:rFonts w:ascii="Arial" w:eastAsia="Times New Roman" w:hAnsi="Arial" w:cs="Arial"/>
        </w:rPr>
        <w:t xml:space="preserve">telehealth visits are covered for Original Medicare and Medicare </w:t>
      </w:r>
      <w:r w:rsidR="004849D3" w:rsidRPr="63F5A810">
        <w:rPr>
          <w:rFonts w:ascii="Arial" w:eastAsia="Times New Roman" w:hAnsi="Arial" w:cs="Arial"/>
        </w:rPr>
        <w:t xml:space="preserve">beneficiaries in urban and rural areas in health care settings and in a beneficiary’s home. After December 31, 2024, </w:t>
      </w:r>
      <w:r w:rsidR="004565D2" w:rsidRPr="63F5A810">
        <w:rPr>
          <w:rFonts w:ascii="Arial" w:eastAsia="Times New Roman" w:hAnsi="Arial" w:cs="Arial"/>
        </w:rPr>
        <w:t xml:space="preserve">telehealth coverage may be more limited. </w:t>
      </w:r>
    </w:p>
    <w:p w14:paraId="45C0166C" w14:textId="77777777" w:rsidR="007D3E49" w:rsidRDefault="007D3E49" w:rsidP="00F62976">
      <w:pPr>
        <w:spacing w:line="276" w:lineRule="auto"/>
        <w:rPr>
          <w:rFonts w:ascii="Arial" w:eastAsia="Times New Roman" w:hAnsi="Arial" w:cs="Arial"/>
        </w:rPr>
      </w:pPr>
    </w:p>
    <w:p w14:paraId="4223B406" w14:textId="182EAFA9" w:rsidR="007D3E49" w:rsidRPr="007D3E49" w:rsidRDefault="007D3E49" w:rsidP="00F62976">
      <w:pPr>
        <w:spacing w:line="276" w:lineRule="auto"/>
        <w:rPr>
          <w:rFonts w:ascii="Arial" w:eastAsia="Times New Roman" w:hAnsi="Arial" w:cs="Arial"/>
          <w:b/>
          <w:bCs/>
        </w:rPr>
      </w:pPr>
      <w:r w:rsidRPr="007D3E49">
        <w:rPr>
          <w:rFonts w:ascii="Arial" w:eastAsia="Times New Roman" w:hAnsi="Arial" w:cs="Arial"/>
          <w:b/>
          <w:bCs/>
        </w:rPr>
        <w:t>Telehealth and home health care</w:t>
      </w:r>
    </w:p>
    <w:p w14:paraId="3F63D1D8" w14:textId="6E35BA2C" w:rsidR="00F62976" w:rsidRPr="00507B47" w:rsidRDefault="007D3E49" w:rsidP="00E22B8E">
      <w:pPr>
        <w:spacing w:line="276" w:lineRule="auto"/>
        <w:ind w:left="720"/>
        <w:rPr>
          <w:rFonts w:ascii="Arial" w:eastAsia="Times New Roman" w:hAnsi="Arial" w:cs="Arial"/>
        </w:rPr>
      </w:pPr>
      <w:r w:rsidRPr="00507B47">
        <w:rPr>
          <w:rFonts w:ascii="Arial" w:eastAsia="Times New Roman" w:hAnsi="Arial" w:cs="Arial"/>
        </w:rPr>
        <w:t xml:space="preserve">During the </w:t>
      </w:r>
      <w:r w:rsidR="004565D2">
        <w:rPr>
          <w:rFonts w:ascii="Arial" w:eastAsia="Times New Roman" w:hAnsi="Arial" w:cs="Arial"/>
        </w:rPr>
        <w:t>PHE</w:t>
      </w:r>
      <w:r w:rsidRPr="00507B47">
        <w:rPr>
          <w:rFonts w:ascii="Arial" w:eastAsia="Times New Roman" w:hAnsi="Arial" w:cs="Arial"/>
        </w:rPr>
        <w:t>, home health care</w:t>
      </w:r>
      <w:r w:rsidR="00507B47" w:rsidRPr="00507B47">
        <w:rPr>
          <w:rFonts w:ascii="Arial" w:eastAsia="Times New Roman" w:hAnsi="Arial" w:cs="Arial"/>
        </w:rPr>
        <w:t xml:space="preserve"> a</w:t>
      </w:r>
      <w:r w:rsidRPr="00507B47">
        <w:rPr>
          <w:rFonts w:ascii="Arial" w:eastAsia="Times New Roman" w:hAnsi="Arial" w:cs="Arial"/>
        </w:rPr>
        <w:t xml:space="preserve">gencies could provide services via telehealth </w:t>
      </w:r>
      <w:r w:rsidR="005E2CC4" w:rsidRPr="00507B47">
        <w:rPr>
          <w:rFonts w:ascii="Arial" w:eastAsia="Times New Roman" w:hAnsi="Arial" w:cs="Arial"/>
        </w:rPr>
        <w:t>if</w:t>
      </w:r>
      <w:r w:rsidR="00507B47">
        <w:rPr>
          <w:rFonts w:ascii="Arial" w:eastAsia="Times New Roman" w:hAnsi="Arial" w:cs="Arial"/>
        </w:rPr>
        <w:t xml:space="preserve"> they were listed on the plan of care and not used in place of in-person services on the plan of care. The face-to-face visit required for </w:t>
      </w:r>
      <w:r w:rsidR="00EB5097">
        <w:rPr>
          <w:rFonts w:ascii="Arial" w:eastAsia="Times New Roman" w:hAnsi="Arial" w:cs="Arial"/>
        </w:rPr>
        <w:t xml:space="preserve">recertification of home health care could also be met via telehealth. </w:t>
      </w:r>
    </w:p>
    <w:p w14:paraId="2DC55B3C" w14:textId="77777777" w:rsidR="007D3E49" w:rsidRPr="00507B47" w:rsidRDefault="007D3E49" w:rsidP="00E22B8E">
      <w:pPr>
        <w:spacing w:line="276" w:lineRule="auto"/>
        <w:ind w:left="720"/>
        <w:rPr>
          <w:rFonts w:ascii="Arial" w:eastAsia="Times New Roman" w:hAnsi="Arial" w:cs="Arial"/>
        </w:rPr>
      </w:pPr>
    </w:p>
    <w:p w14:paraId="3838F75D" w14:textId="1E341F79" w:rsidR="007D3E49" w:rsidRPr="00507B47" w:rsidRDefault="007D3E49" w:rsidP="00E22B8E">
      <w:pPr>
        <w:spacing w:line="276" w:lineRule="auto"/>
        <w:ind w:left="720"/>
        <w:rPr>
          <w:rFonts w:ascii="Arial" w:eastAsia="Times New Roman" w:hAnsi="Arial" w:cs="Arial"/>
        </w:rPr>
      </w:pPr>
      <w:r w:rsidRPr="63F5A810">
        <w:rPr>
          <w:rFonts w:ascii="Arial" w:eastAsia="Times New Roman" w:hAnsi="Arial" w:cs="Arial"/>
        </w:rPr>
        <w:t xml:space="preserve">After the </w:t>
      </w:r>
      <w:r w:rsidR="005E2CC4">
        <w:rPr>
          <w:rFonts w:ascii="Arial" w:eastAsia="Times New Roman" w:hAnsi="Arial" w:cs="Arial"/>
        </w:rPr>
        <w:t xml:space="preserve">end of the </w:t>
      </w:r>
      <w:r w:rsidRPr="63F5A810">
        <w:rPr>
          <w:rFonts w:ascii="Arial" w:eastAsia="Times New Roman" w:hAnsi="Arial" w:cs="Arial"/>
        </w:rPr>
        <w:t xml:space="preserve">PHE, beneficiaries will continue to be able to receive covered home health care services </w:t>
      </w:r>
      <w:r w:rsidR="00EB5097" w:rsidRPr="63F5A810">
        <w:rPr>
          <w:rFonts w:ascii="Arial" w:eastAsia="Times New Roman" w:hAnsi="Arial" w:cs="Arial"/>
        </w:rPr>
        <w:t xml:space="preserve">and meet the face-to-face visit requirement </w:t>
      </w:r>
      <w:r w:rsidRPr="63F5A810">
        <w:rPr>
          <w:rFonts w:ascii="Arial" w:eastAsia="Times New Roman" w:hAnsi="Arial" w:cs="Arial"/>
        </w:rPr>
        <w:t xml:space="preserve">via telehealth, </w:t>
      </w:r>
      <w:proofErr w:type="gramStart"/>
      <w:r w:rsidRPr="63F5A810">
        <w:rPr>
          <w:rFonts w:ascii="Arial" w:eastAsia="Times New Roman" w:hAnsi="Arial" w:cs="Arial"/>
        </w:rPr>
        <w:t>as long as</w:t>
      </w:r>
      <w:proofErr w:type="gramEnd"/>
      <w:r w:rsidRPr="63F5A810">
        <w:rPr>
          <w:rFonts w:ascii="Arial" w:eastAsia="Times New Roman" w:hAnsi="Arial" w:cs="Arial"/>
        </w:rPr>
        <w:t xml:space="preserve"> the </w:t>
      </w:r>
      <w:r w:rsidR="00EB5097" w:rsidRPr="63F5A810">
        <w:rPr>
          <w:rFonts w:ascii="Arial" w:eastAsia="Times New Roman" w:hAnsi="Arial" w:cs="Arial"/>
        </w:rPr>
        <w:t xml:space="preserve">services or visits meet the </w:t>
      </w:r>
      <w:r w:rsidR="65EE5E0D" w:rsidRPr="63F5A810">
        <w:rPr>
          <w:rFonts w:ascii="Arial" w:eastAsia="Times New Roman" w:hAnsi="Arial" w:cs="Arial"/>
        </w:rPr>
        <w:t xml:space="preserve">general </w:t>
      </w:r>
      <w:r w:rsidR="007D1C01" w:rsidRPr="63F5A810">
        <w:rPr>
          <w:rFonts w:ascii="Arial" w:eastAsia="Times New Roman" w:hAnsi="Arial" w:cs="Arial"/>
        </w:rPr>
        <w:t>telehealth</w:t>
      </w:r>
      <w:r w:rsidR="4540D0A6" w:rsidRPr="63F5A810">
        <w:rPr>
          <w:rFonts w:ascii="Arial" w:eastAsia="Times New Roman" w:hAnsi="Arial" w:cs="Arial"/>
        </w:rPr>
        <w:t xml:space="preserve"> requirements</w:t>
      </w:r>
      <w:r w:rsidR="004565D2" w:rsidRPr="63F5A810">
        <w:rPr>
          <w:rFonts w:ascii="Arial" w:eastAsia="Times New Roman" w:hAnsi="Arial" w:cs="Arial"/>
        </w:rPr>
        <w:t xml:space="preserve">. </w:t>
      </w:r>
    </w:p>
    <w:p w14:paraId="465F7FD6" w14:textId="77777777" w:rsidR="00772625" w:rsidRDefault="00772625" w:rsidP="00F62976">
      <w:pPr>
        <w:spacing w:line="276" w:lineRule="auto"/>
        <w:rPr>
          <w:rFonts w:ascii="Arial" w:eastAsia="Times New Roman" w:hAnsi="Arial" w:cs="Arial"/>
          <w:color w:val="FF0000"/>
        </w:rPr>
      </w:pPr>
    </w:p>
    <w:p w14:paraId="176B4CD6" w14:textId="77777777" w:rsidR="00215178" w:rsidRPr="00B07D33" w:rsidRDefault="00215178" w:rsidP="00215178">
      <w:pPr>
        <w:spacing w:line="276" w:lineRule="auto"/>
        <w:rPr>
          <w:rFonts w:ascii="Arial" w:hAnsi="Arial" w:cs="Arial"/>
          <w:b/>
          <w:sz w:val="28"/>
          <w:szCs w:val="28"/>
        </w:rPr>
      </w:pPr>
      <w:r w:rsidRPr="00B07D33">
        <w:rPr>
          <w:rFonts w:ascii="Arial" w:hAnsi="Arial" w:cs="Arial"/>
          <w:b/>
          <w:sz w:val="28"/>
          <w:szCs w:val="28"/>
        </w:rPr>
        <w:t xml:space="preserve">Home health care </w:t>
      </w:r>
    </w:p>
    <w:p w14:paraId="5CA1E544" w14:textId="050758EF" w:rsidR="009E0052" w:rsidRPr="009E0052" w:rsidRDefault="009E0052" w:rsidP="009E0052">
      <w:pPr>
        <w:spacing w:line="276" w:lineRule="auto"/>
        <w:rPr>
          <w:rFonts w:ascii="Arial" w:hAnsi="Arial" w:cs="Arial"/>
        </w:rPr>
      </w:pPr>
      <w:r>
        <w:rPr>
          <w:rFonts w:ascii="Arial" w:hAnsi="Arial" w:cs="Arial"/>
        </w:rPr>
        <w:t>During the PHE, nurse practitioners and physician assistants were authorized to prescribe home health care. This change has been made permanent and will continue after May 11, 202</w:t>
      </w:r>
      <w:r w:rsidR="007D1C01">
        <w:rPr>
          <w:rFonts w:ascii="Arial" w:hAnsi="Arial" w:cs="Arial"/>
        </w:rPr>
        <w:t xml:space="preserve">3. This means that doctors, nurse practitioners, and physician assistants can prescribe home health care. </w:t>
      </w:r>
    </w:p>
    <w:p w14:paraId="6389C90D" w14:textId="77777777" w:rsidR="00E01513" w:rsidRPr="002A75C5" w:rsidRDefault="00E01513" w:rsidP="00E01513">
      <w:pPr>
        <w:spacing w:line="276" w:lineRule="auto"/>
        <w:rPr>
          <w:rFonts w:ascii="Arial" w:hAnsi="Arial" w:cs="Arial"/>
        </w:rPr>
      </w:pPr>
    </w:p>
    <w:p w14:paraId="0BE7C215" w14:textId="01DF3584" w:rsidR="00F34378" w:rsidRPr="00E22B8E" w:rsidRDefault="002A75C5" w:rsidP="00215178">
      <w:pPr>
        <w:spacing w:line="276" w:lineRule="auto"/>
        <w:rPr>
          <w:rFonts w:ascii="Arial" w:hAnsi="Arial" w:cs="Arial"/>
          <w:b/>
          <w:bCs/>
          <w:color w:val="000000"/>
          <w:sz w:val="28"/>
          <w:szCs w:val="28"/>
        </w:rPr>
      </w:pPr>
      <w:r w:rsidRPr="002A75C5">
        <w:rPr>
          <w:rFonts w:ascii="Arial" w:hAnsi="Arial" w:cs="Arial"/>
          <w:b/>
          <w:bCs/>
          <w:color w:val="000000"/>
          <w:sz w:val="28"/>
          <w:szCs w:val="28"/>
        </w:rPr>
        <w:t>Resource</w:t>
      </w:r>
      <w:r w:rsidR="007D1C01">
        <w:rPr>
          <w:rFonts w:ascii="Arial" w:hAnsi="Arial" w:cs="Arial"/>
          <w:b/>
          <w:bCs/>
          <w:color w:val="000000"/>
          <w:sz w:val="28"/>
          <w:szCs w:val="28"/>
        </w:rPr>
        <w:t>s</w:t>
      </w:r>
      <w:r w:rsidRPr="002A75C5">
        <w:rPr>
          <w:rFonts w:ascii="Arial" w:hAnsi="Arial" w:cs="Arial"/>
          <w:b/>
          <w:bCs/>
          <w:color w:val="000000"/>
          <w:sz w:val="28"/>
          <w:szCs w:val="28"/>
        </w:rPr>
        <w:t xml:space="preserve"> for more </w:t>
      </w:r>
      <w:r w:rsidR="00F34378" w:rsidRPr="002A75C5">
        <w:rPr>
          <w:rFonts w:ascii="Arial" w:hAnsi="Arial" w:cs="Arial"/>
          <w:b/>
          <w:bCs/>
          <w:color w:val="000000"/>
          <w:sz w:val="28"/>
          <w:szCs w:val="28"/>
        </w:rPr>
        <w:t>information</w:t>
      </w:r>
      <w:r w:rsidRPr="002A75C5">
        <w:rPr>
          <w:rFonts w:ascii="Arial" w:hAnsi="Arial" w:cs="Arial"/>
          <w:b/>
          <w:bCs/>
          <w:color w:val="000000"/>
          <w:sz w:val="28"/>
          <w:szCs w:val="28"/>
        </w:rPr>
        <w:t>:</w:t>
      </w:r>
    </w:p>
    <w:p w14:paraId="7270B553" w14:textId="281BAA9F" w:rsidR="009E0052" w:rsidRPr="00286785" w:rsidRDefault="00F01B8B" w:rsidP="00286785">
      <w:pPr>
        <w:spacing w:line="276" w:lineRule="auto"/>
        <w:rPr>
          <w:rStyle w:val="Hyperlink"/>
          <w:rFonts w:ascii="Arial" w:hAnsi="Arial" w:cs="Arial"/>
        </w:rPr>
      </w:pPr>
      <w:r>
        <w:rPr>
          <w:rFonts w:ascii="Arial" w:hAnsi="Arial" w:cs="Arial"/>
        </w:rPr>
        <w:fldChar w:fldCharType="begin"/>
      </w:r>
      <w:r w:rsidR="00160884" w:rsidRPr="00286785">
        <w:rPr>
          <w:rFonts w:ascii="Arial" w:hAnsi="Arial" w:cs="Arial"/>
        </w:rPr>
        <w:instrText>HYPERLINK "https://www.cms.gov/files/document/what-do-i-need-know-cms-waivers-flexibilities-and-transition-forward-covid-19-public-health.pdf"</w:instrText>
      </w:r>
      <w:r>
        <w:rPr>
          <w:rFonts w:ascii="Arial" w:hAnsi="Arial" w:cs="Arial"/>
        </w:rPr>
      </w:r>
      <w:r>
        <w:rPr>
          <w:rFonts w:ascii="Arial" w:hAnsi="Arial" w:cs="Arial"/>
        </w:rPr>
        <w:fldChar w:fldCharType="separate"/>
      </w:r>
      <w:r w:rsidR="009E0052" w:rsidRPr="00286785">
        <w:rPr>
          <w:rStyle w:val="Hyperlink"/>
          <w:rFonts w:ascii="Arial" w:hAnsi="Arial" w:cs="Arial"/>
        </w:rPr>
        <w:t xml:space="preserve">CMS </w:t>
      </w:r>
      <w:r w:rsidR="000A3DA5" w:rsidRPr="00286785">
        <w:rPr>
          <w:rStyle w:val="Hyperlink"/>
          <w:rFonts w:ascii="Arial" w:hAnsi="Arial" w:cs="Arial"/>
        </w:rPr>
        <w:t xml:space="preserve">PHE Fact Sheet </w:t>
      </w:r>
    </w:p>
    <w:p w14:paraId="44571DBA" w14:textId="7925CBED" w:rsidR="00CF5C48" w:rsidRPr="00160884" w:rsidRDefault="00F01B8B" w:rsidP="00286785">
      <w:pPr>
        <w:rPr>
          <w:rStyle w:val="Hyperlink"/>
          <w:rFonts w:ascii="Arial" w:hAnsi="Arial" w:cs="Arial"/>
        </w:rPr>
      </w:pPr>
      <w:r>
        <w:fldChar w:fldCharType="end"/>
      </w:r>
      <w:r w:rsidR="00160884">
        <w:fldChar w:fldCharType="begin"/>
      </w:r>
      <w:r w:rsidR="00160884">
        <w:instrText xml:space="preserve"> HYPERLINK "https://www.cms.gov/files/document/frequently-asked-questions-cms-waivers-flexibilities-and-end-covid-19-public-health-emergency.pdf" </w:instrText>
      </w:r>
      <w:r w:rsidR="00160884">
        <w:fldChar w:fldCharType="separate"/>
      </w:r>
      <w:r w:rsidR="009E0052" w:rsidRPr="00160884">
        <w:rPr>
          <w:rStyle w:val="Hyperlink"/>
          <w:rFonts w:ascii="Arial" w:hAnsi="Arial" w:cs="Arial"/>
        </w:rPr>
        <w:t xml:space="preserve">CMS Waivers and Flexibilities FAQ </w:t>
      </w:r>
    </w:p>
    <w:p w14:paraId="6F896274" w14:textId="74CD8017" w:rsidR="000A3DA5" w:rsidRPr="00286785" w:rsidRDefault="00160884" w:rsidP="00286785">
      <w:pPr>
        <w:rPr>
          <w:rStyle w:val="Hyperlink"/>
          <w:rFonts w:ascii="Arial" w:hAnsi="Arial" w:cs="Arial"/>
        </w:rPr>
      </w:pPr>
      <w:r>
        <w:rPr>
          <w:rFonts w:ascii="Arial" w:hAnsi="Arial" w:cs="Arial"/>
        </w:rPr>
        <w:fldChar w:fldCharType="end"/>
      </w:r>
      <w:r w:rsidR="00286785">
        <w:rPr>
          <w:rFonts w:ascii="Arial" w:hAnsi="Arial" w:cs="Arial"/>
        </w:rPr>
        <w:fldChar w:fldCharType="begin"/>
      </w:r>
      <w:r w:rsidR="00286785">
        <w:rPr>
          <w:rFonts w:ascii="Arial" w:hAnsi="Arial" w:cs="Arial"/>
        </w:rPr>
        <w:instrText xml:space="preserve"> HYPERLINK "https://www.cms.gov/about-cms/agency-information/emergency/epro/current-emergencies/current-emergencies-page" </w:instrText>
      </w:r>
      <w:r w:rsidR="00286785">
        <w:rPr>
          <w:rFonts w:ascii="Arial" w:hAnsi="Arial" w:cs="Arial"/>
        </w:rPr>
      </w:r>
      <w:r w:rsidR="00286785">
        <w:rPr>
          <w:rFonts w:ascii="Arial" w:hAnsi="Arial" w:cs="Arial"/>
        </w:rPr>
        <w:fldChar w:fldCharType="separate"/>
      </w:r>
      <w:r w:rsidR="000A3DA5" w:rsidRPr="00286785">
        <w:rPr>
          <w:rStyle w:val="Hyperlink"/>
          <w:rFonts w:ascii="Arial" w:hAnsi="Arial" w:cs="Arial"/>
        </w:rPr>
        <w:t>CMS Current Emergencies</w:t>
      </w:r>
    </w:p>
    <w:p w14:paraId="03FD946E" w14:textId="0CFA3ABE" w:rsidR="41378E66" w:rsidRPr="00286785" w:rsidRDefault="00286785" w:rsidP="00286785">
      <w:pPr>
        <w:spacing w:line="276" w:lineRule="auto"/>
        <w:rPr>
          <w:rFonts w:ascii="Arial" w:hAnsi="Arial" w:cs="Arial"/>
          <w:color w:val="000000" w:themeColor="text1"/>
        </w:rPr>
      </w:pPr>
      <w:r>
        <w:rPr>
          <w:rFonts w:ascii="Arial" w:hAnsi="Arial" w:cs="Arial"/>
        </w:rPr>
        <w:fldChar w:fldCharType="end"/>
      </w:r>
      <w:hyperlink r:id="rId13" w:history="1">
        <w:r w:rsidRPr="00286785">
          <w:rPr>
            <w:rStyle w:val="Hyperlink"/>
            <w:rFonts w:ascii="Arial" w:hAnsi="Arial" w:cs="Arial"/>
          </w:rPr>
          <w:t xml:space="preserve">Home </w:t>
        </w:r>
        <w:r w:rsidR="00915FE3">
          <w:rPr>
            <w:rStyle w:val="Hyperlink"/>
            <w:rFonts w:ascii="Arial" w:hAnsi="Arial" w:cs="Arial"/>
          </w:rPr>
          <w:t>H</w:t>
        </w:r>
        <w:r w:rsidRPr="00286785">
          <w:rPr>
            <w:rStyle w:val="Hyperlink"/>
            <w:rFonts w:ascii="Arial" w:hAnsi="Arial" w:cs="Arial"/>
          </w:rPr>
          <w:t xml:space="preserve">ealth </w:t>
        </w:r>
        <w:r w:rsidR="00915FE3">
          <w:rPr>
            <w:rStyle w:val="Hyperlink"/>
            <w:rFonts w:ascii="Arial" w:hAnsi="Arial" w:cs="Arial"/>
          </w:rPr>
          <w:t>F</w:t>
        </w:r>
        <w:r w:rsidRPr="00286785">
          <w:rPr>
            <w:rStyle w:val="Hyperlink"/>
            <w:rFonts w:ascii="Arial" w:hAnsi="Arial" w:cs="Arial"/>
          </w:rPr>
          <w:t>lexibilities</w:t>
        </w:r>
      </w:hyperlink>
      <w:r w:rsidRPr="00286785">
        <w:rPr>
          <w:rFonts w:ascii="Arial" w:hAnsi="Arial" w:cs="Arial"/>
          <w:color w:val="000000" w:themeColor="text1"/>
        </w:rPr>
        <w:t xml:space="preserve"> </w:t>
      </w:r>
    </w:p>
    <w:p w14:paraId="44263753" w14:textId="6C8BB691" w:rsidR="00CF5C48" w:rsidRDefault="00E12AE7" w:rsidP="00215178">
      <w:pPr>
        <w:spacing w:line="276" w:lineRule="auto"/>
        <w:rPr>
          <w:rFonts w:ascii="Arial" w:hAnsi="Arial" w:cs="Arial"/>
          <w:color w:val="000000"/>
        </w:rPr>
      </w:pPr>
      <w:hyperlink r:id="rId14" w:history="1">
        <w:r w:rsidR="00915FE3" w:rsidRPr="00915FE3">
          <w:rPr>
            <w:rStyle w:val="Hyperlink"/>
            <w:rFonts w:ascii="Arial" w:hAnsi="Arial" w:cs="Arial"/>
          </w:rPr>
          <w:t xml:space="preserve">Medicare Advantage and Part D </w:t>
        </w:r>
        <w:r w:rsidR="00915FE3">
          <w:rPr>
            <w:rStyle w:val="Hyperlink"/>
            <w:rFonts w:ascii="Arial" w:hAnsi="Arial" w:cs="Arial"/>
          </w:rPr>
          <w:t>P</w:t>
        </w:r>
        <w:r w:rsidR="00915FE3" w:rsidRPr="00915FE3">
          <w:rPr>
            <w:rStyle w:val="Hyperlink"/>
            <w:rFonts w:ascii="Arial" w:hAnsi="Arial" w:cs="Arial"/>
          </w:rPr>
          <w:t xml:space="preserve">lan </w:t>
        </w:r>
        <w:r w:rsidR="00915FE3">
          <w:rPr>
            <w:rStyle w:val="Hyperlink"/>
            <w:rFonts w:ascii="Arial" w:hAnsi="Arial" w:cs="Arial"/>
          </w:rPr>
          <w:t>F</w:t>
        </w:r>
        <w:r w:rsidR="00915FE3" w:rsidRPr="00915FE3">
          <w:rPr>
            <w:rStyle w:val="Hyperlink"/>
            <w:rFonts w:ascii="Arial" w:hAnsi="Arial" w:cs="Arial"/>
          </w:rPr>
          <w:t>lexibilities</w:t>
        </w:r>
      </w:hyperlink>
    </w:p>
    <w:p w14:paraId="33C1750C" w14:textId="77777777" w:rsidR="00E84636" w:rsidRPr="00E84636" w:rsidRDefault="00E84636" w:rsidP="00215178">
      <w:pPr>
        <w:spacing w:line="276" w:lineRule="auto"/>
        <w:rPr>
          <w:rFonts w:ascii="Arial" w:hAnsi="Arial" w:cs="Arial"/>
          <w:color w:val="000000"/>
        </w:rPr>
      </w:pPr>
    </w:p>
    <w:sectPr w:rsidR="00E84636" w:rsidRPr="00E84636" w:rsidSect="007D1C01">
      <w:headerReference w:type="default" r:id="rId15"/>
      <w:footerReference w:type="even" r:id="rId16"/>
      <w:footerReference w:type="default" r:id="rId17"/>
      <w:pgSz w:w="12240" w:h="15840"/>
      <w:pgMar w:top="450" w:right="720" w:bottom="1530" w:left="720" w:header="720" w:footer="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B6B6" w14:textId="77777777" w:rsidR="007A5171" w:rsidRDefault="007A5171" w:rsidP="00174434">
      <w:r>
        <w:separator/>
      </w:r>
    </w:p>
  </w:endnote>
  <w:endnote w:type="continuationSeparator" w:id="0">
    <w:p w14:paraId="2A09E382" w14:textId="77777777" w:rsidR="007A5171" w:rsidRDefault="007A5171" w:rsidP="00174434">
      <w:r>
        <w:continuationSeparator/>
      </w:r>
    </w:p>
  </w:endnote>
  <w:endnote w:type="continuationNotice" w:id="1">
    <w:p w14:paraId="6BB2B1C5" w14:textId="77777777" w:rsidR="007A5171" w:rsidRDefault="007A5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27A4" w14:textId="6FBC4559" w:rsidR="00561213" w:rsidRDefault="00561213" w:rsidP="005612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7206BE" w14:textId="77777777" w:rsidR="00561213" w:rsidRDefault="00561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108A" w14:textId="77777777" w:rsidR="00561213" w:rsidRDefault="00561213" w:rsidP="007D1C01">
    <w:pPr>
      <w:pStyle w:val="paragraph"/>
      <w:framePr w:w="11966" w:h="1220" w:hRule="exact" w:wrap="none" w:vAnchor="text" w:hAnchor="page" w:x="151" w:y="-952"/>
      <w:spacing w:before="0" w:beforeAutospacing="0" w:after="0" w:afterAutospacing="0"/>
      <w:ind w:left="-720" w:right="-720"/>
      <w:jc w:val="center"/>
      <w:textAlignment w:val="baseline"/>
      <w:rPr>
        <w:rStyle w:val="normaltextrun"/>
        <w:rFonts w:ascii="Calibri" w:hAnsi="Calibri" w:cs="Calibri"/>
        <w:color w:val="0563C1"/>
        <w:sz w:val="20"/>
        <w:szCs w:val="20"/>
        <w:u w:val="single"/>
      </w:rPr>
    </w:pPr>
    <w:r w:rsidRPr="00C9352C">
      <w:rPr>
        <w:rStyle w:val="normaltextrun"/>
        <w:rFonts w:ascii="Calibri" w:hAnsi="Calibri" w:cs="Calibri"/>
        <w:sz w:val="20"/>
        <w:szCs w:val="20"/>
      </w:rPr>
      <w:t>SHIP National Technical Assistance Center: 877-839-2675 | </w:t>
    </w:r>
    <w:hyperlink r:id="rId1" w:tgtFrame="_blank" w:history="1">
      <w:r w:rsidRPr="00C9352C">
        <w:rPr>
          <w:rStyle w:val="normaltextrun"/>
          <w:rFonts w:ascii="Calibri" w:hAnsi="Calibri" w:cs="Calibri"/>
          <w:color w:val="0563C1"/>
          <w:sz w:val="20"/>
          <w:szCs w:val="20"/>
          <w:u w:val="single"/>
        </w:rPr>
        <w:t>www.shiptacenter.org</w:t>
      </w:r>
    </w:hyperlink>
    <w:r w:rsidRPr="00C9352C">
      <w:rPr>
        <w:rStyle w:val="normaltextrun"/>
        <w:rFonts w:ascii="Calibri" w:hAnsi="Calibri" w:cs="Calibri"/>
        <w:sz w:val="20"/>
        <w:szCs w:val="20"/>
      </w:rPr>
      <w:t> | </w:t>
    </w:r>
    <w:hyperlink r:id="rId2" w:tgtFrame="_blank" w:history="1">
      <w:r w:rsidRPr="00C9352C">
        <w:rPr>
          <w:rStyle w:val="normaltextrun"/>
          <w:rFonts w:ascii="Calibri" w:hAnsi="Calibri" w:cs="Calibri"/>
          <w:color w:val="0563C1"/>
          <w:sz w:val="20"/>
          <w:szCs w:val="20"/>
          <w:u w:val="single"/>
        </w:rPr>
        <w:t>info@shiptacenter.org</w:t>
      </w:r>
    </w:hyperlink>
  </w:p>
  <w:p w14:paraId="55D1D4A6" w14:textId="232DE67D" w:rsidR="00561213" w:rsidRPr="00C9352C" w:rsidRDefault="00561213" w:rsidP="007D1C01">
    <w:pPr>
      <w:pStyle w:val="paragraph"/>
      <w:framePr w:w="11966" w:h="1220" w:hRule="exact" w:wrap="none" w:vAnchor="text" w:hAnchor="page" w:x="151" w:y="-952"/>
      <w:spacing w:before="0" w:beforeAutospacing="0" w:after="0" w:afterAutospacing="0"/>
      <w:ind w:left="540" w:right="810"/>
      <w:jc w:val="center"/>
      <w:textAlignment w:val="baseline"/>
      <w:rPr>
        <w:rFonts w:ascii="Calibri" w:hAnsi="Calibri" w:cs="Calibri"/>
        <w:i/>
        <w:iCs/>
        <w:sz w:val="17"/>
        <w:szCs w:val="17"/>
      </w:rPr>
    </w:pPr>
    <w:r w:rsidRPr="00C9352C">
      <w:rPr>
        <w:rStyle w:val="normaltextrun"/>
        <w:rFonts w:ascii="Calibri" w:hAnsi="Calibri" w:cs="Calibri"/>
        <w:i/>
        <w:iCs/>
        <w:sz w:val="17"/>
        <w:szCs w:val="17"/>
      </w:rPr>
      <w:t xml:space="preserve">This document </w:t>
    </w:r>
    <w:r w:rsidRPr="00C9352C">
      <w:rPr>
        <w:rFonts w:ascii="Calibri" w:hAnsi="Calibri" w:cs="Calibri"/>
        <w:i/>
        <w:iCs/>
        <w:sz w:val="17"/>
        <w:szCs w:val="17"/>
      </w:rPr>
      <w:t>was supported, in part, by grant number 90SATC0002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r>
      <w:rPr>
        <w:rFonts w:ascii="Calibri" w:hAnsi="Calibri" w:cs="Calibri"/>
        <w:i/>
        <w:iCs/>
        <w:sz w:val="17"/>
        <w:szCs w:val="17"/>
      </w:rPr>
      <w:t xml:space="preserve"> </w:t>
    </w:r>
    <w:r w:rsidRPr="00C9352C">
      <w:rPr>
        <w:rStyle w:val="normaltextrun"/>
        <w:rFonts w:ascii="Calibri" w:hAnsi="Calibri" w:cs="Calibri"/>
        <w:i/>
        <w:iCs/>
        <w:sz w:val="16"/>
        <w:szCs w:val="16"/>
      </w:rPr>
      <w:t xml:space="preserve"> [</w:t>
    </w:r>
    <w:r w:rsidR="00215178">
      <w:rPr>
        <w:rStyle w:val="normaltextrun"/>
        <w:rFonts w:ascii="Calibri" w:hAnsi="Calibri" w:cs="Calibri"/>
        <w:i/>
        <w:iCs/>
        <w:sz w:val="16"/>
        <w:szCs w:val="16"/>
      </w:rPr>
      <w:t>May 2023</w:t>
    </w:r>
    <w:r w:rsidRPr="00C9352C">
      <w:rPr>
        <w:rStyle w:val="normaltextrun"/>
        <w:rFonts w:ascii="Calibri" w:hAnsi="Calibri" w:cs="Calibri"/>
        <w:i/>
        <w:iCs/>
        <w:sz w:val="16"/>
        <w:szCs w:val="16"/>
      </w:rPr>
      <w:t>]</w:t>
    </w:r>
  </w:p>
  <w:sdt>
    <w:sdtPr>
      <w:rPr>
        <w:rStyle w:val="PageNumber"/>
        <w:sz w:val="16"/>
        <w:szCs w:val="16"/>
      </w:rPr>
      <w:id w:val="1539320993"/>
      <w:docPartObj>
        <w:docPartGallery w:val="Page Numbers (Bottom of Page)"/>
        <w:docPartUnique/>
      </w:docPartObj>
    </w:sdtPr>
    <w:sdtEndPr>
      <w:rPr>
        <w:rStyle w:val="PageNumber"/>
      </w:rPr>
    </w:sdtEndPr>
    <w:sdtContent>
      <w:p w14:paraId="549B7A90" w14:textId="2F67E257" w:rsidR="00561213" w:rsidRPr="00C9352C" w:rsidRDefault="00561213" w:rsidP="007D1C01">
        <w:pPr>
          <w:pStyle w:val="Footer"/>
          <w:framePr w:w="11966" w:h="1220" w:hRule="exact" w:wrap="none" w:vAnchor="text" w:hAnchor="page" w:x="151" w:y="-952"/>
          <w:jc w:val="center"/>
          <w:rPr>
            <w:rStyle w:val="PageNumber"/>
            <w:sz w:val="16"/>
            <w:szCs w:val="16"/>
          </w:rPr>
        </w:pPr>
        <w:r w:rsidRPr="00C9352C">
          <w:rPr>
            <w:rStyle w:val="PageNumber"/>
            <w:sz w:val="16"/>
            <w:szCs w:val="16"/>
          </w:rPr>
          <w:fldChar w:fldCharType="begin"/>
        </w:r>
        <w:r w:rsidRPr="00C9352C">
          <w:rPr>
            <w:rStyle w:val="PageNumber"/>
            <w:sz w:val="16"/>
            <w:szCs w:val="16"/>
          </w:rPr>
          <w:instrText xml:space="preserve"> PAGE </w:instrText>
        </w:r>
        <w:r w:rsidRPr="00C9352C">
          <w:rPr>
            <w:rStyle w:val="PageNumber"/>
            <w:sz w:val="16"/>
            <w:szCs w:val="16"/>
          </w:rPr>
          <w:fldChar w:fldCharType="separate"/>
        </w:r>
        <w:r w:rsidRPr="00C9352C">
          <w:rPr>
            <w:rStyle w:val="PageNumber"/>
            <w:noProof/>
            <w:sz w:val="16"/>
            <w:szCs w:val="16"/>
          </w:rPr>
          <w:t>4</w:t>
        </w:r>
        <w:r w:rsidRPr="00C9352C">
          <w:rPr>
            <w:rStyle w:val="PageNumber"/>
            <w:sz w:val="16"/>
            <w:szCs w:val="16"/>
          </w:rPr>
          <w:fldChar w:fldCharType="end"/>
        </w:r>
      </w:p>
    </w:sdtContent>
  </w:sdt>
  <w:p w14:paraId="3703299A" w14:textId="77777777" w:rsidR="00561213" w:rsidRPr="00C9352C" w:rsidRDefault="00561213" w:rsidP="007D1C01">
    <w:pPr>
      <w:pStyle w:val="paragraph"/>
      <w:spacing w:before="0" w:beforeAutospacing="0" w:after="0" w:afterAutospacing="0"/>
      <w:ind w:right="-720"/>
      <w:textAlignment w:val="baseline"/>
      <w:rPr>
        <w:rStyle w:val="normaltextrun"/>
        <w:rFonts w:ascii="Calibri" w:hAnsi="Calibri" w:cs="Calibri"/>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D075" w14:textId="77777777" w:rsidR="007A5171" w:rsidRDefault="007A5171" w:rsidP="00174434">
      <w:r>
        <w:separator/>
      </w:r>
    </w:p>
  </w:footnote>
  <w:footnote w:type="continuationSeparator" w:id="0">
    <w:p w14:paraId="76CC7CA7" w14:textId="77777777" w:rsidR="007A5171" w:rsidRDefault="007A5171" w:rsidP="00174434">
      <w:r>
        <w:continuationSeparator/>
      </w:r>
    </w:p>
  </w:footnote>
  <w:footnote w:type="continuationNotice" w:id="1">
    <w:p w14:paraId="5D43FA9E" w14:textId="77777777" w:rsidR="007A5171" w:rsidRDefault="007A5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8B93" w14:textId="38A0DE92" w:rsidR="00561213" w:rsidRDefault="00561213" w:rsidP="006D41BC">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901"/>
    <w:multiLevelType w:val="hybridMultilevel"/>
    <w:tmpl w:val="04CA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90C85"/>
    <w:multiLevelType w:val="hybridMultilevel"/>
    <w:tmpl w:val="1AC2CC36"/>
    <w:lvl w:ilvl="0" w:tplc="C08A2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F557D8"/>
    <w:multiLevelType w:val="multilevel"/>
    <w:tmpl w:val="739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2B7E07"/>
    <w:multiLevelType w:val="hybridMultilevel"/>
    <w:tmpl w:val="41E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24B07"/>
    <w:multiLevelType w:val="multilevel"/>
    <w:tmpl w:val="FD62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25575E"/>
    <w:multiLevelType w:val="hybridMultilevel"/>
    <w:tmpl w:val="470039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134964"/>
    <w:multiLevelType w:val="hybridMultilevel"/>
    <w:tmpl w:val="66FA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40479"/>
    <w:multiLevelType w:val="multilevel"/>
    <w:tmpl w:val="867826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BD85543"/>
    <w:multiLevelType w:val="hybridMultilevel"/>
    <w:tmpl w:val="7F7E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A0018"/>
    <w:multiLevelType w:val="multilevel"/>
    <w:tmpl w:val="836A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CE2E58"/>
    <w:multiLevelType w:val="hybridMultilevel"/>
    <w:tmpl w:val="6E9CC49A"/>
    <w:lvl w:ilvl="0" w:tplc="A544899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1581F"/>
    <w:multiLevelType w:val="multilevel"/>
    <w:tmpl w:val="E8D6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EC5DF3"/>
    <w:multiLevelType w:val="hybridMultilevel"/>
    <w:tmpl w:val="D9DA25BE"/>
    <w:lvl w:ilvl="0" w:tplc="9D66EFA2">
      <w:start w:val="9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6385E"/>
    <w:multiLevelType w:val="hybridMultilevel"/>
    <w:tmpl w:val="2B36128C"/>
    <w:lvl w:ilvl="0" w:tplc="6938160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73CA8"/>
    <w:multiLevelType w:val="hybridMultilevel"/>
    <w:tmpl w:val="B30C6F70"/>
    <w:lvl w:ilvl="0" w:tplc="D68A17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79F5B3A"/>
    <w:multiLevelType w:val="hybridMultilevel"/>
    <w:tmpl w:val="04CC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46343"/>
    <w:multiLevelType w:val="multilevel"/>
    <w:tmpl w:val="AED6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5279737">
    <w:abstractNumId w:val="5"/>
  </w:num>
  <w:num w:numId="2" w16cid:durableId="399599068">
    <w:abstractNumId w:val="11"/>
  </w:num>
  <w:num w:numId="3" w16cid:durableId="349452979">
    <w:abstractNumId w:val="9"/>
  </w:num>
  <w:num w:numId="4" w16cid:durableId="655691924">
    <w:abstractNumId w:val="4"/>
  </w:num>
  <w:num w:numId="5" w16cid:durableId="710113746">
    <w:abstractNumId w:val="7"/>
  </w:num>
  <w:num w:numId="6" w16cid:durableId="1003363824">
    <w:abstractNumId w:val="16"/>
  </w:num>
  <w:num w:numId="7" w16cid:durableId="2107996540">
    <w:abstractNumId w:val="2"/>
  </w:num>
  <w:num w:numId="8" w16cid:durableId="587079701">
    <w:abstractNumId w:val="0"/>
  </w:num>
  <w:num w:numId="9" w16cid:durableId="834879517">
    <w:abstractNumId w:val="3"/>
  </w:num>
  <w:num w:numId="10" w16cid:durableId="1002393563">
    <w:abstractNumId w:val="15"/>
  </w:num>
  <w:num w:numId="11" w16cid:durableId="1613173929">
    <w:abstractNumId w:val="6"/>
  </w:num>
  <w:num w:numId="12" w16cid:durableId="1841194993">
    <w:abstractNumId w:val="8"/>
  </w:num>
  <w:num w:numId="13" w16cid:durableId="244609271">
    <w:abstractNumId w:val="1"/>
  </w:num>
  <w:num w:numId="14" w16cid:durableId="944270888">
    <w:abstractNumId w:val="10"/>
  </w:num>
  <w:num w:numId="15" w16cid:durableId="496579024">
    <w:abstractNumId w:val="13"/>
  </w:num>
  <w:num w:numId="16" w16cid:durableId="1955357869">
    <w:abstractNumId w:val="14"/>
  </w:num>
  <w:num w:numId="17" w16cid:durableId="12231787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srQ0MDEwNTY3MzZS0lEKTi0uzszPAykwrAUAmSs0XiwAAAA="/>
  </w:docVars>
  <w:rsids>
    <w:rsidRoot w:val="0024034F"/>
    <w:rsid w:val="000043CD"/>
    <w:rsid w:val="00024F34"/>
    <w:rsid w:val="000277F7"/>
    <w:rsid w:val="0005451D"/>
    <w:rsid w:val="00064B82"/>
    <w:rsid w:val="00092280"/>
    <w:rsid w:val="0009310C"/>
    <w:rsid w:val="000967A6"/>
    <w:rsid w:val="000A3DA5"/>
    <w:rsid w:val="000B1467"/>
    <w:rsid w:val="000C308E"/>
    <w:rsid w:val="000D04D5"/>
    <w:rsid w:val="000D0C4F"/>
    <w:rsid w:val="000E4F0B"/>
    <w:rsid w:val="000F6326"/>
    <w:rsid w:val="001000AC"/>
    <w:rsid w:val="001075A0"/>
    <w:rsid w:val="00120BA4"/>
    <w:rsid w:val="00122BC7"/>
    <w:rsid w:val="0013284C"/>
    <w:rsid w:val="00142CD8"/>
    <w:rsid w:val="00160884"/>
    <w:rsid w:val="001657E9"/>
    <w:rsid w:val="00166FCD"/>
    <w:rsid w:val="0016700A"/>
    <w:rsid w:val="00174434"/>
    <w:rsid w:val="00185EF9"/>
    <w:rsid w:val="001B4E82"/>
    <w:rsid w:val="001D2E4D"/>
    <w:rsid w:val="001D43B5"/>
    <w:rsid w:val="001D4534"/>
    <w:rsid w:val="00214359"/>
    <w:rsid w:val="00215178"/>
    <w:rsid w:val="0024034F"/>
    <w:rsid w:val="002524F1"/>
    <w:rsid w:val="00256540"/>
    <w:rsid w:val="002612B6"/>
    <w:rsid w:val="00286785"/>
    <w:rsid w:val="00291432"/>
    <w:rsid w:val="002A3119"/>
    <w:rsid w:val="002A44B0"/>
    <w:rsid w:val="002A698A"/>
    <w:rsid w:val="002A75C5"/>
    <w:rsid w:val="002B3271"/>
    <w:rsid w:val="002C450C"/>
    <w:rsid w:val="002C6F52"/>
    <w:rsid w:val="002E3B09"/>
    <w:rsid w:val="002F3437"/>
    <w:rsid w:val="002F5578"/>
    <w:rsid w:val="0031455F"/>
    <w:rsid w:val="003234EE"/>
    <w:rsid w:val="0033060C"/>
    <w:rsid w:val="00362D7C"/>
    <w:rsid w:val="0037086A"/>
    <w:rsid w:val="00377999"/>
    <w:rsid w:val="003943C6"/>
    <w:rsid w:val="003B03F8"/>
    <w:rsid w:val="003F0E6B"/>
    <w:rsid w:val="004116B3"/>
    <w:rsid w:val="00415B8B"/>
    <w:rsid w:val="00447995"/>
    <w:rsid w:val="00447F32"/>
    <w:rsid w:val="004565D2"/>
    <w:rsid w:val="00460996"/>
    <w:rsid w:val="00463E86"/>
    <w:rsid w:val="0046543E"/>
    <w:rsid w:val="00465B15"/>
    <w:rsid w:val="00476163"/>
    <w:rsid w:val="00476BC6"/>
    <w:rsid w:val="004772A3"/>
    <w:rsid w:val="00480087"/>
    <w:rsid w:val="0048430E"/>
    <w:rsid w:val="00484910"/>
    <w:rsid w:val="004849D3"/>
    <w:rsid w:val="004B3925"/>
    <w:rsid w:val="004C7B5B"/>
    <w:rsid w:val="004E3C5D"/>
    <w:rsid w:val="004E4D12"/>
    <w:rsid w:val="00502555"/>
    <w:rsid w:val="005036C2"/>
    <w:rsid w:val="00507B47"/>
    <w:rsid w:val="00525E3D"/>
    <w:rsid w:val="00536F4C"/>
    <w:rsid w:val="00561213"/>
    <w:rsid w:val="0057549C"/>
    <w:rsid w:val="00586756"/>
    <w:rsid w:val="00592CA6"/>
    <w:rsid w:val="00593E0E"/>
    <w:rsid w:val="005D0BA8"/>
    <w:rsid w:val="005D7921"/>
    <w:rsid w:val="005E2CC4"/>
    <w:rsid w:val="005E58D3"/>
    <w:rsid w:val="00606F9B"/>
    <w:rsid w:val="006101E6"/>
    <w:rsid w:val="0061044A"/>
    <w:rsid w:val="00622495"/>
    <w:rsid w:val="00632BA3"/>
    <w:rsid w:val="0065407B"/>
    <w:rsid w:val="00662CC7"/>
    <w:rsid w:val="00664BA4"/>
    <w:rsid w:val="00665D9E"/>
    <w:rsid w:val="0067773D"/>
    <w:rsid w:val="00693A3A"/>
    <w:rsid w:val="006A22EE"/>
    <w:rsid w:val="006A6964"/>
    <w:rsid w:val="006B03B7"/>
    <w:rsid w:val="006B5949"/>
    <w:rsid w:val="006C101B"/>
    <w:rsid w:val="006C3F8D"/>
    <w:rsid w:val="006D41BC"/>
    <w:rsid w:val="006D5730"/>
    <w:rsid w:val="00704332"/>
    <w:rsid w:val="00723A23"/>
    <w:rsid w:val="00727838"/>
    <w:rsid w:val="00734516"/>
    <w:rsid w:val="0075288D"/>
    <w:rsid w:val="0075695F"/>
    <w:rsid w:val="00757366"/>
    <w:rsid w:val="00772625"/>
    <w:rsid w:val="00786A43"/>
    <w:rsid w:val="00791C16"/>
    <w:rsid w:val="00793A58"/>
    <w:rsid w:val="007A5171"/>
    <w:rsid w:val="007D1C01"/>
    <w:rsid w:val="007D350C"/>
    <w:rsid w:val="007D3E49"/>
    <w:rsid w:val="007D4D83"/>
    <w:rsid w:val="007E7ACA"/>
    <w:rsid w:val="00803DF0"/>
    <w:rsid w:val="008147B3"/>
    <w:rsid w:val="008251B6"/>
    <w:rsid w:val="0083436B"/>
    <w:rsid w:val="00873807"/>
    <w:rsid w:val="008759D3"/>
    <w:rsid w:val="00886B8A"/>
    <w:rsid w:val="0088773A"/>
    <w:rsid w:val="008969B6"/>
    <w:rsid w:val="008C58C4"/>
    <w:rsid w:val="008D5564"/>
    <w:rsid w:val="008E771E"/>
    <w:rsid w:val="00907CEA"/>
    <w:rsid w:val="009109C5"/>
    <w:rsid w:val="00915FE3"/>
    <w:rsid w:val="00920C07"/>
    <w:rsid w:val="00925E58"/>
    <w:rsid w:val="00941B72"/>
    <w:rsid w:val="00947DD6"/>
    <w:rsid w:val="00953192"/>
    <w:rsid w:val="00956066"/>
    <w:rsid w:val="009757ED"/>
    <w:rsid w:val="00987FF1"/>
    <w:rsid w:val="009A36C6"/>
    <w:rsid w:val="009A7A54"/>
    <w:rsid w:val="009B29CB"/>
    <w:rsid w:val="009C18D4"/>
    <w:rsid w:val="009D37A0"/>
    <w:rsid w:val="009D52E1"/>
    <w:rsid w:val="009E0052"/>
    <w:rsid w:val="009E6C25"/>
    <w:rsid w:val="009F6DDE"/>
    <w:rsid w:val="00A004F1"/>
    <w:rsid w:val="00A02C62"/>
    <w:rsid w:val="00A2308B"/>
    <w:rsid w:val="00A24F53"/>
    <w:rsid w:val="00A27AEC"/>
    <w:rsid w:val="00A356EF"/>
    <w:rsid w:val="00A56D2B"/>
    <w:rsid w:val="00A66F62"/>
    <w:rsid w:val="00A707D2"/>
    <w:rsid w:val="00A810A2"/>
    <w:rsid w:val="00A82A72"/>
    <w:rsid w:val="00A910C9"/>
    <w:rsid w:val="00A97C12"/>
    <w:rsid w:val="00AA6002"/>
    <w:rsid w:val="00AB1BC0"/>
    <w:rsid w:val="00AB2256"/>
    <w:rsid w:val="00AB7109"/>
    <w:rsid w:val="00AB7357"/>
    <w:rsid w:val="00AF4BFD"/>
    <w:rsid w:val="00AF6A55"/>
    <w:rsid w:val="00B01838"/>
    <w:rsid w:val="00B03DE2"/>
    <w:rsid w:val="00B07D33"/>
    <w:rsid w:val="00B15254"/>
    <w:rsid w:val="00B66086"/>
    <w:rsid w:val="00B720B7"/>
    <w:rsid w:val="00B81A56"/>
    <w:rsid w:val="00BA4F62"/>
    <w:rsid w:val="00BC4128"/>
    <w:rsid w:val="00BE3B10"/>
    <w:rsid w:val="00BE48E1"/>
    <w:rsid w:val="00BF2F2F"/>
    <w:rsid w:val="00C12494"/>
    <w:rsid w:val="00C252CD"/>
    <w:rsid w:val="00C25BBA"/>
    <w:rsid w:val="00C312D8"/>
    <w:rsid w:val="00C31930"/>
    <w:rsid w:val="00C34AC4"/>
    <w:rsid w:val="00C375D0"/>
    <w:rsid w:val="00C43815"/>
    <w:rsid w:val="00C47A09"/>
    <w:rsid w:val="00C54601"/>
    <w:rsid w:val="00C62517"/>
    <w:rsid w:val="00C62A9F"/>
    <w:rsid w:val="00C635C6"/>
    <w:rsid w:val="00C9352C"/>
    <w:rsid w:val="00C93766"/>
    <w:rsid w:val="00C965FE"/>
    <w:rsid w:val="00C96B0B"/>
    <w:rsid w:val="00CA14E5"/>
    <w:rsid w:val="00CC6ADA"/>
    <w:rsid w:val="00CD3AC9"/>
    <w:rsid w:val="00CE1909"/>
    <w:rsid w:val="00CE6D08"/>
    <w:rsid w:val="00CE72D0"/>
    <w:rsid w:val="00CF5C48"/>
    <w:rsid w:val="00D23661"/>
    <w:rsid w:val="00D24F2D"/>
    <w:rsid w:val="00D31BB2"/>
    <w:rsid w:val="00D43764"/>
    <w:rsid w:val="00D44353"/>
    <w:rsid w:val="00D745A0"/>
    <w:rsid w:val="00D74FEA"/>
    <w:rsid w:val="00D82B20"/>
    <w:rsid w:val="00D83D79"/>
    <w:rsid w:val="00DA51E7"/>
    <w:rsid w:val="00DA796A"/>
    <w:rsid w:val="00DB26FB"/>
    <w:rsid w:val="00DB46F2"/>
    <w:rsid w:val="00DC3F70"/>
    <w:rsid w:val="00DC527C"/>
    <w:rsid w:val="00DD5320"/>
    <w:rsid w:val="00DE7BE9"/>
    <w:rsid w:val="00DF13C6"/>
    <w:rsid w:val="00E01513"/>
    <w:rsid w:val="00E12AE7"/>
    <w:rsid w:val="00E1669A"/>
    <w:rsid w:val="00E21CE5"/>
    <w:rsid w:val="00E22B8E"/>
    <w:rsid w:val="00E24E61"/>
    <w:rsid w:val="00E57000"/>
    <w:rsid w:val="00E77AA0"/>
    <w:rsid w:val="00E8038B"/>
    <w:rsid w:val="00E84636"/>
    <w:rsid w:val="00E86FDF"/>
    <w:rsid w:val="00E91333"/>
    <w:rsid w:val="00E97A86"/>
    <w:rsid w:val="00EB24D7"/>
    <w:rsid w:val="00EB5097"/>
    <w:rsid w:val="00EB622E"/>
    <w:rsid w:val="00ED1F87"/>
    <w:rsid w:val="00ED57F0"/>
    <w:rsid w:val="00ED7FBB"/>
    <w:rsid w:val="00EE0940"/>
    <w:rsid w:val="00EF1894"/>
    <w:rsid w:val="00EF7009"/>
    <w:rsid w:val="00F01B8B"/>
    <w:rsid w:val="00F04235"/>
    <w:rsid w:val="00F12896"/>
    <w:rsid w:val="00F34378"/>
    <w:rsid w:val="00F35CAF"/>
    <w:rsid w:val="00F60D00"/>
    <w:rsid w:val="00F62903"/>
    <w:rsid w:val="00F62976"/>
    <w:rsid w:val="00F70C58"/>
    <w:rsid w:val="00FB5512"/>
    <w:rsid w:val="00FC1F0E"/>
    <w:rsid w:val="00FC21A6"/>
    <w:rsid w:val="00FC40FC"/>
    <w:rsid w:val="00FC73C5"/>
    <w:rsid w:val="00FF06B4"/>
    <w:rsid w:val="00FF241C"/>
    <w:rsid w:val="00FF7DA8"/>
    <w:rsid w:val="01A0E034"/>
    <w:rsid w:val="01F90A38"/>
    <w:rsid w:val="0394DA99"/>
    <w:rsid w:val="03EA194C"/>
    <w:rsid w:val="08DC280A"/>
    <w:rsid w:val="09BAC492"/>
    <w:rsid w:val="0B1BFE9E"/>
    <w:rsid w:val="0C7A8714"/>
    <w:rsid w:val="0CD4DFEF"/>
    <w:rsid w:val="0DAD5DB3"/>
    <w:rsid w:val="101BC2CA"/>
    <w:rsid w:val="103C87C3"/>
    <w:rsid w:val="10D4B41F"/>
    <w:rsid w:val="12E4E61B"/>
    <w:rsid w:val="1451783A"/>
    <w:rsid w:val="1850E524"/>
    <w:rsid w:val="19590A1C"/>
    <w:rsid w:val="1B112730"/>
    <w:rsid w:val="1B43F701"/>
    <w:rsid w:val="1B8885E6"/>
    <w:rsid w:val="1BE89D70"/>
    <w:rsid w:val="1E33B597"/>
    <w:rsid w:val="2273B022"/>
    <w:rsid w:val="25605725"/>
    <w:rsid w:val="26B904D8"/>
    <w:rsid w:val="27C222AE"/>
    <w:rsid w:val="29350EC0"/>
    <w:rsid w:val="29771B6C"/>
    <w:rsid w:val="29FFAE79"/>
    <w:rsid w:val="2A0AC6D5"/>
    <w:rsid w:val="2A1B6923"/>
    <w:rsid w:val="2FFAFC5E"/>
    <w:rsid w:val="306644DD"/>
    <w:rsid w:val="30672D78"/>
    <w:rsid w:val="31BC4AFD"/>
    <w:rsid w:val="33F89848"/>
    <w:rsid w:val="3730390A"/>
    <w:rsid w:val="3822E161"/>
    <w:rsid w:val="3C2B0D61"/>
    <w:rsid w:val="3FAAD18D"/>
    <w:rsid w:val="41378E66"/>
    <w:rsid w:val="41906FDF"/>
    <w:rsid w:val="420D71A3"/>
    <w:rsid w:val="4234301A"/>
    <w:rsid w:val="43FA765C"/>
    <w:rsid w:val="44A2677B"/>
    <w:rsid w:val="4540D0A6"/>
    <w:rsid w:val="4C00A59A"/>
    <w:rsid w:val="4F38465C"/>
    <w:rsid w:val="51C7D9B0"/>
    <w:rsid w:val="55B5F8DB"/>
    <w:rsid w:val="55BC274E"/>
    <w:rsid w:val="569B4AD3"/>
    <w:rsid w:val="58554FF9"/>
    <w:rsid w:val="5A1FA2A5"/>
    <w:rsid w:val="5C3362C5"/>
    <w:rsid w:val="5DEF3408"/>
    <w:rsid w:val="61868CE5"/>
    <w:rsid w:val="638302EB"/>
    <w:rsid w:val="63F5A810"/>
    <w:rsid w:val="64466531"/>
    <w:rsid w:val="65899152"/>
    <w:rsid w:val="65C59930"/>
    <w:rsid w:val="65EE5E0D"/>
    <w:rsid w:val="67F514FA"/>
    <w:rsid w:val="6BA17921"/>
    <w:rsid w:val="6F0B2A0E"/>
    <w:rsid w:val="6F2DEF4A"/>
    <w:rsid w:val="70481A04"/>
    <w:rsid w:val="70776C75"/>
    <w:rsid w:val="73F36326"/>
    <w:rsid w:val="76C7C692"/>
    <w:rsid w:val="785227F1"/>
    <w:rsid w:val="7EE3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156FF"/>
  <w15:docId w15:val="{7AE7E0E4-4512-5A43-B91C-1BEF4229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C58"/>
    <w:pPr>
      <w:spacing w:after="160" w:line="259" w:lineRule="auto"/>
      <w:ind w:left="720"/>
      <w:contextualSpacing/>
    </w:pPr>
    <w:rPr>
      <w:sz w:val="22"/>
      <w:szCs w:val="22"/>
    </w:rPr>
  </w:style>
  <w:style w:type="character" w:styleId="Hyperlink">
    <w:name w:val="Hyperlink"/>
    <w:basedOn w:val="DefaultParagraphFont"/>
    <w:uiPriority w:val="99"/>
    <w:unhideWhenUsed/>
    <w:rsid w:val="00F70C58"/>
    <w:rPr>
      <w:color w:val="0563C1" w:themeColor="hyperlink"/>
      <w:u w:val="single"/>
    </w:rPr>
  </w:style>
  <w:style w:type="character" w:styleId="FollowedHyperlink">
    <w:name w:val="FollowedHyperlink"/>
    <w:basedOn w:val="DefaultParagraphFont"/>
    <w:uiPriority w:val="99"/>
    <w:semiHidden/>
    <w:unhideWhenUsed/>
    <w:rsid w:val="00953192"/>
    <w:rPr>
      <w:color w:val="954F72" w:themeColor="followedHyperlink"/>
      <w:u w:val="single"/>
    </w:rPr>
  </w:style>
  <w:style w:type="paragraph" w:customStyle="1" w:styleId="paragraph">
    <w:name w:val="paragraph"/>
    <w:basedOn w:val="Normal"/>
    <w:rsid w:val="00C25BB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25BBA"/>
  </w:style>
  <w:style w:type="character" w:customStyle="1" w:styleId="eop">
    <w:name w:val="eop"/>
    <w:basedOn w:val="DefaultParagraphFont"/>
    <w:rsid w:val="00C25BBA"/>
  </w:style>
  <w:style w:type="table" w:styleId="TableGrid">
    <w:name w:val="Table Grid"/>
    <w:basedOn w:val="TableNormal"/>
    <w:uiPriority w:val="39"/>
    <w:rsid w:val="0033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434"/>
    <w:pPr>
      <w:tabs>
        <w:tab w:val="center" w:pos="4680"/>
        <w:tab w:val="right" w:pos="9360"/>
      </w:tabs>
    </w:pPr>
  </w:style>
  <w:style w:type="character" w:customStyle="1" w:styleId="HeaderChar">
    <w:name w:val="Header Char"/>
    <w:basedOn w:val="DefaultParagraphFont"/>
    <w:link w:val="Header"/>
    <w:uiPriority w:val="99"/>
    <w:rsid w:val="00174434"/>
  </w:style>
  <w:style w:type="paragraph" w:styleId="Footer">
    <w:name w:val="footer"/>
    <w:basedOn w:val="Normal"/>
    <w:link w:val="FooterChar"/>
    <w:uiPriority w:val="99"/>
    <w:unhideWhenUsed/>
    <w:rsid w:val="00174434"/>
    <w:pPr>
      <w:tabs>
        <w:tab w:val="center" w:pos="4680"/>
        <w:tab w:val="right" w:pos="9360"/>
      </w:tabs>
    </w:pPr>
  </w:style>
  <w:style w:type="character" w:customStyle="1" w:styleId="FooterChar">
    <w:name w:val="Footer Char"/>
    <w:basedOn w:val="DefaultParagraphFont"/>
    <w:link w:val="Footer"/>
    <w:uiPriority w:val="99"/>
    <w:rsid w:val="00174434"/>
  </w:style>
  <w:style w:type="character" w:customStyle="1" w:styleId="scxw144110245">
    <w:name w:val="scxw144110245"/>
    <w:basedOn w:val="DefaultParagraphFont"/>
    <w:rsid w:val="006D41BC"/>
  </w:style>
  <w:style w:type="character" w:styleId="PageNumber">
    <w:name w:val="page number"/>
    <w:basedOn w:val="DefaultParagraphFont"/>
    <w:uiPriority w:val="99"/>
    <w:semiHidden/>
    <w:unhideWhenUsed/>
    <w:rsid w:val="002C450C"/>
  </w:style>
  <w:style w:type="paragraph" w:styleId="BalloonText">
    <w:name w:val="Balloon Text"/>
    <w:basedOn w:val="Normal"/>
    <w:link w:val="BalloonTextChar"/>
    <w:uiPriority w:val="99"/>
    <w:semiHidden/>
    <w:unhideWhenUsed/>
    <w:rsid w:val="00C312D8"/>
    <w:rPr>
      <w:rFonts w:ascii="Tahoma" w:hAnsi="Tahoma" w:cs="Tahoma"/>
      <w:sz w:val="16"/>
      <w:szCs w:val="16"/>
    </w:rPr>
  </w:style>
  <w:style w:type="character" w:customStyle="1" w:styleId="BalloonTextChar">
    <w:name w:val="Balloon Text Char"/>
    <w:basedOn w:val="DefaultParagraphFont"/>
    <w:link w:val="BalloonText"/>
    <w:uiPriority w:val="99"/>
    <w:semiHidden/>
    <w:rsid w:val="00C312D8"/>
    <w:rPr>
      <w:rFonts w:ascii="Tahoma" w:hAnsi="Tahoma" w:cs="Tahoma"/>
      <w:sz w:val="16"/>
      <w:szCs w:val="16"/>
    </w:rPr>
  </w:style>
  <w:style w:type="character" w:styleId="CommentReference">
    <w:name w:val="annotation reference"/>
    <w:basedOn w:val="DefaultParagraphFont"/>
    <w:uiPriority w:val="99"/>
    <w:semiHidden/>
    <w:unhideWhenUsed/>
    <w:rsid w:val="00C312D8"/>
    <w:rPr>
      <w:sz w:val="16"/>
      <w:szCs w:val="16"/>
    </w:rPr>
  </w:style>
  <w:style w:type="paragraph" w:styleId="CommentText">
    <w:name w:val="annotation text"/>
    <w:basedOn w:val="Normal"/>
    <w:link w:val="CommentTextChar"/>
    <w:uiPriority w:val="99"/>
    <w:unhideWhenUsed/>
    <w:rsid w:val="00C312D8"/>
    <w:rPr>
      <w:sz w:val="20"/>
      <w:szCs w:val="20"/>
    </w:rPr>
  </w:style>
  <w:style w:type="character" w:customStyle="1" w:styleId="CommentTextChar">
    <w:name w:val="Comment Text Char"/>
    <w:basedOn w:val="DefaultParagraphFont"/>
    <w:link w:val="CommentText"/>
    <w:uiPriority w:val="99"/>
    <w:rsid w:val="00C312D8"/>
    <w:rPr>
      <w:sz w:val="20"/>
      <w:szCs w:val="20"/>
    </w:rPr>
  </w:style>
  <w:style w:type="paragraph" w:styleId="CommentSubject">
    <w:name w:val="annotation subject"/>
    <w:basedOn w:val="CommentText"/>
    <w:next w:val="CommentText"/>
    <w:link w:val="CommentSubjectChar"/>
    <w:uiPriority w:val="99"/>
    <w:semiHidden/>
    <w:unhideWhenUsed/>
    <w:rsid w:val="00C312D8"/>
    <w:rPr>
      <w:b/>
      <w:bCs/>
    </w:rPr>
  </w:style>
  <w:style w:type="character" w:customStyle="1" w:styleId="CommentSubjectChar">
    <w:name w:val="Comment Subject Char"/>
    <w:basedOn w:val="CommentTextChar"/>
    <w:link w:val="CommentSubject"/>
    <w:uiPriority w:val="99"/>
    <w:semiHidden/>
    <w:rsid w:val="00C312D8"/>
    <w:rPr>
      <w:b/>
      <w:bCs/>
      <w:sz w:val="20"/>
      <w:szCs w:val="20"/>
    </w:rPr>
  </w:style>
  <w:style w:type="character" w:styleId="UnresolvedMention">
    <w:name w:val="Unresolved Mention"/>
    <w:basedOn w:val="DefaultParagraphFont"/>
    <w:uiPriority w:val="99"/>
    <w:semiHidden/>
    <w:unhideWhenUsed/>
    <w:rsid w:val="00593E0E"/>
    <w:rPr>
      <w:color w:val="605E5C"/>
      <w:shd w:val="clear" w:color="auto" w:fill="E1DFDD"/>
    </w:rPr>
  </w:style>
  <w:style w:type="character" w:customStyle="1" w:styleId="apple-converted-space">
    <w:name w:val="apple-converted-space"/>
    <w:basedOn w:val="DefaultParagraphFont"/>
    <w:rsid w:val="00A24F53"/>
  </w:style>
  <w:style w:type="paragraph" w:styleId="Revision">
    <w:name w:val="Revision"/>
    <w:hidden/>
    <w:uiPriority w:val="99"/>
    <w:semiHidden/>
    <w:rsid w:val="00C5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1781">
      <w:bodyDiv w:val="1"/>
      <w:marLeft w:val="0"/>
      <w:marRight w:val="0"/>
      <w:marTop w:val="0"/>
      <w:marBottom w:val="0"/>
      <w:divBdr>
        <w:top w:val="none" w:sz="0" w:space="0" w:color="auto"/>
        <w:left w:val="none" w:sz="0" w:space="0" w:color="auto"/>
        <w:bottom w:val="none" w:sz="0" w:space="0" w:color="auto"/>
        <w:right w:val="none" w:sz="0" w:space="0" w:color="auto"/>
      </w:divBdr>
    </w:div>
    <w:div w:id="320164506">
      <w:bodyDiv w:val="1"/>
      <w:marLeft w:val="0"/>
      <w:marRight w:val="0"/>
      <w:marTop w:val="0"/>
      <w:marBottom w:val="0"/>
      <w:divBdr>
        <w:top w:val="none" w:sz="0" w:space="0" w:color="auto"/>
        <w:left w:val="none" w:sz="0" w:space="0" w:color="auto"/>
        <w:bottom w:val="none" w:sz="0" w:space="0" w:color="auto"/>
        <w:right w:val="none" w:sz="0" w:space="0" w:color="auto"/>
      </w:divBdr>
    </w:div>
    <w:div w:id="501748468">
      <w:bodyDiv w:val="1"/>
      <w:marLeft w:val="0"/>
      <w:marRight w:val="0"/>
      <w:marTop w:val="0"/>
      <w:marBottom w:val="0"/>
      <w:divBdr>
        <w:top w:val="none" w:sz="0" w:space="0" w:color="auto"/>
        <w:left w:val="none" w:sz="0" w:space="0" w:color="auto"/>
        <w:bottom w:val="none" w:sz="0" w:space="0" w:color="auto"/>
        <w:right w:val="none" w:sz="0" w:space="0" w:color="auto"/>
      </w:divBdr>
    </w:div>
    <w:div w:id="852695113">
      <w:bodyDiv w:val="1"/>
      <w:marLeft w:val="0"/>
      <w:marRight w:val="0"/>
      <w:marTop w:val="0"/>
      <w:marBottom w:val="0"/>
      <w:divBdr>
        <w:top w:val="none" w:sz="0" w:space="0" w:color="auto"/>
        <w:left w:val="none" w:sz="0" w:space="0" w:color="auto"/>
        <w:bottom w:val="none" w:sz="0" w:space="0" w:color="auto"/>
        <w:right w:val="none" w:sz="0" w:space="0" w:color="auto"/>
      </w:divBdr>
      <w:divsChild>
        <w:div w:id="507063117">
          <w:marLeft w:val="0"/>
          <w:marRight w:val="0"/>
          <w:marTop w:val="0"/>
          <w:marBottom w:val="0"/>
          <w:divBdr>
            <w:top w:val="none" w:sz="0" w:space="0" w:color="auto"/>
            <w:left w:val="none" w:sz="0" w:space="0" w:color="auto"/>
            <w:bottom w:val="none" w:sz="0" w:space="0" w:color="auto"/>
            <w:right w:val="none" w:sz="0" w:space="0" w:color="auto"/>
          </w:divBdr>
        </w:div>
        <w:div w:id="1011758591">
          <w:marLeft w:val="0"/>
          <w:marRight w:val="0"/>
          <w:marTop w:val="0"/>
          <w:marBottom w:val="0"/>
          <w:divBdr>
            <w:top w:val="none" w:sz="0" w:space="0" w:color="auto"/>
            <w:left w:val="none" w:sz="0" w:space="0" w:color="auto"/>
            <w:bottom w:val="none" w:sz="0" w:space="0" w:color="auto"/>
            <w:right w:val="none" w:sz="0" w:space="0" w:color="auto"/>
          </w:divBdr>
        </w:div>
        <w:div w:id="106002135">
          <w:marLeft w:val="0"/>
          <w:marRight w:val="0"/>
          <w:marTop w:val="0"/>
          <w:marBottom w:val="0"/>
          <w:divBdr>
            <w:top w:val="none" w:sz="0" w:space="0" w:color="auto"/>
            <w:left w:val="none" w:sz="0" w:space="0" w:color="auto"/>
            <w:bottom w:val="none" w:sz="0" w:space="0" w:color="auto"/>
            <w:right w:val="none" w:sz="0" w:space="0" w:color="auto"/>
          </w:divBdr>
        </w:div>
        <w:div w:id="823862709">
          <w:marLeft w:val="0"/>
          <w:marRight w:val="0"/>
          <w:marTop w:val="0"/>
          <w:marBottom w:val="0"/>
          <w:divBdr>
            <w:top w:val="none" w:sz="0" w:space="0" w:color="auto"/>
            <w:left w:val="none" w:sz="0" w:space="0" w:color="auto"/>
            <w:bottom w:val="none" w:sz="0" w:space="0" w:color="auto"/>
            <w:right w:val="none" w:sz="0" w:space="0" w:color="auto"/>
          </w:divBdr>
        </w:div>
      </w:divsChild>
    </w:div>
    <w:div w:id="960109433">
      <w:bodyDiv w:val="1"/>
      <w:marLeft w:val="0"/>
      <w:marRight w:val="0"/>
      <w:marTop w:val="0"/>
      <w:marBottom w:val="0"/>
      <w:divBdr>
        <w:top w:val="none" w:sz="0" w:space="0" w:color="auto"/>
        <w:left w:val="none" w:sz="0" w:space="0" w:color="auto"/>
        <w:bottom w:val="none" w:sz="0" w:space="0" w:color="auto"/>
        <w:right w:val="none" w:sz="0" w:space="0" w:color="auto"/>
      </w:divBdr>
      <w:divsChild>
        <w:div w:id="1291281785">
          <w:marLeft w:val="0"/>
          <w:marRight w:val="0"/>
          <w:marTop w:val="0"/>
          <w:marBottom w:val="0"/>
          <w:divBdr>
            <w:top w:val="none" w:sz="0" w:space="0" w:color="auto"/>
            <w:left w:val="none" w:sz="0" w:space="0" w:color="auto"/>
            <w:bottom w:val="none" w:sz="0" w:space="0" w:color="auto"/>
            <w:right w:val="none" w:sz="0" w:space="0" w:color="auto"/>
          </w:divBdr>
        </w:div>
        <w:div w:id="1984657401">
          <w:marLeft w:val="0"/>
          <w:marRight w:val="0"/>
          <w:marTop w:val="0"/>
          <w:marBottom w:val="0"/>
          <w:divBdr>
            <w:top w:val="none" w:sz="0" w:space="0" w:color="auto"/>
            <w:left w:val="none" w:sz="0" w:space="0" w:color="auto"/>
            <w:bottom w:val="none" w:sz="0" w:space="0" w:color="auto"/>
            <w:right w:val="none" w:sz="0" w:space="0" w:color="auto"/>
          </w:divBdr>
        </w:div>
        <w:div w:id="1175026602">
          <w:marLeft w:val="0"/>
          <w:marRight w:val="0"/>
          <w:marTop w:val="0"/>
          <w:marBottom w:val="0"/>
          <w:divBdr>
            <w:top w:val="none" w:sz="0" w:space="0" w:color="auto"/>
            <w:left w:val="none" w:sz="0" w:space="0" w:color="auto"/>
            <w:bottom w:val="none" w:sz="0" w:space="0" w:color="auto"/>
            <w:right w:val="none" w:sz="0" w:space="0" w:color="auto"/>
          </w:divBdr>
        </w:div>
        <w:div w:id="375088741">
          <w:marLeft w:val="0"/>
          <w:marRight w:val="0"/>
          <w:marTop w:val="0"/>
          <w:marBottom w:val="0"/>
          <w:divBdr>
            <w:top w:val="none" w:sz="0" w:space="0" w:color="auto"/>
            <w:left w:val="none" w:sz="0" w:space="0" w:color="auto"/>
            <w:bottom w:val="none" w:sz="0" w:space="0" w:color="auto"/>
            <w:right w:val="none" w:sz="0" w:space="0" w:color="auto"/>
          </w:divBdr>
        </w:div>
        <w:div w:id="368385195">
          <w:marLeft w:val="0"/>
          <w:marRight w:val="0"/>
          <w:marTop w:val="0"/>
          <w:marBottom w:val="0"/>
          <w:divBdr>
            <w:top w:val="none" w:sz="0" w:space="0" w:color="auto"/>
            <w:left w:val="none" w:sz="0" w:space="0" w:color="auto"/>
            <w:bottom w:val="none" w:sz="0" w:space="0" w:color="auto"/>
            <w:right w:val="none" w:sz="0" w:space="0" w:color="auto"/>
          </w:divBdr>
        </w:div>
        <w:div w:id="1865241033">
          <w:marLeft w:val="0"/>
          <w:marRight w:val="0"/>
          <w:marTop w:val="0"/>
          <w:marBottom w:val="0"/>
          <w:divBdr>
            <w:top w:val="none" w:sz="0" w:space="0" w:color="auto"/>
            <w:left w:val="none" w:sz="0" w:space="0" w:color="auto"/>
            <w:bottom w:val="none" w:sz="0" w:space="0" w:color="auto"/>
            <w:right w:val="none" w:sz="0" w:space="0" w:color="auto"/>
          </w:divBdr>
        </w:div>
        <w:div w:id="489062003">
          <w:marLeft w:val="0"/>
          <w:marRight w:val="0"/>
          <w:marTop w:val="0"/>
          <w:marBottom w:val="0"/>
          <w:divBdr>
            <w:top w:val="none" w:sz="0" w:space="0" w:color="auto"/>
            <w:left w:val="none" w:sz="0" w:space="0" w:color="auto"/>
            <w:bottom w:val="none" w:sz="0" w:space="0" w:color="auto"/>
            <w:right w:val="none" w:sz="0" w:space="0" w:color="auto"/>
          </w:divBdr>
        </w:div>
        <w:div w:id="1703087600">
          <w:marLeft w:val="0"/>
          <w:marRight w:val="0"/>
          <w:marTop w:val="0"/>
          <w:marBottom w:val="0"/>
          <w:divBdr>
            <w:top w:val="none" w:sz="0" w:space="0" w:color="auto"/>
            <w:left w:val="none" w:sz="0" w:space="0" w:color="auto"/>
            <w:bottom w:val="none" w:sz="0" w:space="0" w:color="auto"/>
            <w:right w:val="none" w:sz="0" w:space="0" w:color="auto"/>
          </w:divBdr>
        </w:div>
        <w:div w:id="1406413296">
          <w:marLeft w:val="0"/>
          <w:marRight w:val="0"/>
          <w:marTop w:val="0"/>
          <w:marBottom w:val="0"/>
          <w:divBdr>
            <w:top w:val="none" w:sz="0" w:space="0" w:color="auto"/>
            <w:left w:val="none" w:sz="0" w:space="0" w:color="auto"/>
            <w:bottom w:val="none" w:sz="0" w:space="0" w:color="auto"/>
            <w:right w:val="none" w:sz="0" w:space="0" w:color="auto"/>
          </w:divBdr>
        </w:div>
        <w:div w:id="1317109065">
          <w:marLeft w:val="0"/>
          <w:marRight w:val="0"/>
          <w:marTop w:val="0"/>
          <w:marBottom w:val="0"/>
          <w:divBdr>
            <w:top w:val="none" w:sz="0" w:space="0" w:color="auto"/>
            <w:left w:val="none" w:sz="0" w:space="0" w:color="auto"/>
            <w:bottom w:val="none" w:sz="0" w:space="0" w:color="auto"/>
            <w:right w:val="none" w:sz="0" w:space="0" w:color="auto"/>
          </w:divBdr>
        </w:div>
        <w:div w:id="2091582996">
          <w:marLeft w:val="0"/>
          <w:marRight w:val="0"/>
          <w:marTop w:val="0"/>
          <w:marBottom w:val="0"/>
          <w:divBdr>
            <w:top w:val="none" w:sz="0" w:space="0" w:color="auto"/>
            <w:left w:val="none" w:sz="0" w:space="0" w:color="auto"/>
            <w:bottom w:val="none" w:sz="0" w:space="0" w:color="auto"/>
            <w:right w:val="none" w:sz="0" w:space="0" w:color="auto"/>
          </w:divBdr>
        </w:div>
        <w:div w:id="759369166">
          <w:marLeft w:val="0"/>
          <w:marRight w:val="0"/>
          <w:marTop w:val="0"/>
          <w:marBottom w:val="0"/>
          <w:divBdr>
            <w:top w:val="none" w:sz="0" w:space="0" w:color="auto"/>
            <w:left w:val="none" w:sz="0" w:space="0" w:color="auto"/>
            <w:bottom w:val="none" w:sz="0" w:space="0" w:color="auto"/>
            <w:right w:val="none" w:sz="0" w:space="0" w:color="auto"/>
          </w:divBdr>
        </w:div>
        <w:div w:id="11418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files/document/home-health-agencies-cms-flexibilities-fight-covid-1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vaccines/booster-shot.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files/document/medicare-advantage-and-part-d-plans-cms-flexibilities-fight-covid-19.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hiptacenter.org" TargetMode="External"/><Relationship Id="rId1" Type="http://schemas.openxmlformats.org/officeDocument/2006/relationships/hyperlink" Target="http://www.shipta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7" ma:contentTypeDescription="Create a new document." ma:contentTypeScope="" ma:versionID="1b8af6e9a900b5f8e13f00d38497b74b">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7db992b79eb58832aac92419a1227e44"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SharedWithUsers xmlns="8f333a15-14ce-4acb-be46-c7bb9ebaa243">
      <UserInfo>
        <DisplayName>Emily Whicheloe</DisplayName>
        <AccountId>13</AccountId>
        <AccountType/>
      </UserInfo>
      <UserInfo>
        <DisplayName>Derek Ayeh</DisplayName>
        <AccountId>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7B3ED-3C91-4916-BE8A-ED5814019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CA9BE-2609-BB48-9D27-C2ECA9263504}">
  <ds:schemaRefs>
    <ds:schemaRef ds:uri="http://schemas.openxmlformats.org/officeDocument/2006/bibliography"/>
  </ds:schemaRefs>
</ds:datastoreItem>
</file>

<file path=customXml/itemProps3.xml><?xml version="1.0" encoding="utf-8"?>
<ds:datastoreItem xmlns:ds="http://schemas.openxmlformats.org/officeDocument/2006/customXml" ds:itemID="{F7AD04F3-5904-4014-938B-FF9851EDBA97}">
  <ds:schemaRefs>
    <ds:schemaRef ds:uri="http://schemas.microsoft.com/office/2006/metadata/properties"/>
    <ds:schemaRef ds:uri="http://schemas.microsoft.com/office/infopath/2007/PartnerControls"/>
    <ds:schemaRef ds:uri="http://schemas.microsoft.com/sharepoint/v3"/>
    <ds:schemaRef ds:uri="46eb5ea5-c861-40cc-b355-55969697028b"/>
    <ds:schemaRef ds:uri="8f333a15-14ce-4acb-be46-c7bb9ebaa243"/>
  </ds:schemaRefs>
</ds:datastoreItem>
</file>

<file path=customXml/itemProps4.xml><?xml version="1.0" encoding="utf-8"?>
<ds:datastoreItem xmlns:ds="http://schemas.openxmlformats.org/officeDocument/2006/customXml" ds:itemID="{1E820BE0-1DF7-4161-878C-AE0ABEC4A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Alyssa Kulpa</cp:lastModifiedBy>
  <cp:revision>2</cp:revision>
  <dcterms:created xsi:type="dcterms:W3CDTF">2023-05-19T21:56:00Z</dcterms:created>
  <dcterms:modified xsi:type="dcterms:W3CDTF">2023-05-19T21:56:00Z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MediaServiceImageTags">
    <vt:lpwstr/>
  </property>
</Properties>
</file>