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E24" w:rsidRDefault="00BE07C6" w:rsidP="00BE07C6">
      <w:pPr>
        <w:widowControl w:val="0"/>
        <w:pBdr>
          <w:top w:val="nil"/>
          <w:left w:val="nil"/>
          <w:bottom w:val="nil"/>
          <w:right w:val="nil"/>
          <w:between w:val="nil"/>
        </w:pBdr>
        <w:spacing w:line="240" w:lineRule="auto"/>
        <w:jc w:val="right"/>
        <w:rPr>
          <w:color w:val="000000"/>
          <w:sz w:val="24"/>
          <w:szCs w:val="24"/>
        </w:rPr>
      </w:pPr>
      <w:r>
        <w:rPr>
          <w:noProof/>
          <w:color w:val="990099"/>
          <w:sz w:val="56"/>
          <w:szCs w:val="56"/>
        </w:rPr>
        <w:drawing>
          <wp:inline distT="0" distB="0" distL="0" distR="0" wp14:anchorId="33DBA7CD" wp14:editId="0CC1324D">
            <wp:extent cx="1551007" cy="58520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2043" cy="593139"/>
                    </a:xfrm>
                    <a:prstGeom prst="rect">
                      <a:avLst/>
                    </a:prstGeom>
                    <a:noFill/>
                  </pic:spPr>
                </pic:pic>
              </a:graphicData>
            </a:graphic>
          </wp:inline>
        </w:drawing>
      </w:r>
    </w:p>
    <w:p w:rsidR="00411FB4" w:rsidRPr="00BE07C6" w:rsidRDefault="00BE07C6" w:rsidP="00353FFB">
      <w:pPr>
        <w:tabs>
          <w:tab w:val="center" w:pos="6980"/>
          <w:tab w:val="left" w:pos="11010"/>
        </w:tabs>
        <w:rPr>
          <w:color w:val="990099"/>
          <w:sz w:val="16"/>
          <w:szCs w:val="16"/>
        </w:rPr>
      </w:pPr>
      <w:r w:rsidRPr="00BE07C6">
        <w:rPr>
          <w:color w:val="990099"/>
          <w:sz w:val="16"/>
          <w:szCs w:val="16"/>
        </w:rPr>
        <w:br/>
      </w:r>
      <w:r>
        <w:rPr>
          <w:color w:val="990099"/>
          <w:sz w:val="56"/>
          <w:szCs w:val="56"/>
        </w:rPr>
        <w:t xml:space="preserve">Residential Care </w:t>
      </w:r>
      <w:r w:rsidR="00BF3942">
        <w:rPr>
          <w:color w:val="990099"/>
          <w:sz w:val="56"/>
          <w:szCs w:val="56"/>
        </w:rPr>
        <w:t>Options</w:t>
      </w:r>
      <w:r w:rsidR="00353FFB">
        <w:rPr>
          <w:color w:val="990099"/>
          <w:sz w:val="56"/>
          <w:szCs w:val="56"/>
        </w:rPr>
        <w:br/>
      </w:r>
      <w:r w:rsidR="00411FB4" w:rsidRPr="00353FFB">
        <w:rPr>
          <w:color w:val="990099"/>
          <w:sz w:val="48"/>
          <w:szCs w:val="48"/>
        </w:rPr>
        <w:t>Housing Options</w:t>
      </w:r>
      <w:bookmarkStart w:id="0" w:name="_GoBack"/>
      <w:bookmarkEnd w:id="0"/>
      <w:r w:rsidR="00411FB4">
        <w:rPr>
          <w:color w:val="990099"/>
          <w:sz w:val="56"/>
          <w:szCs w:val="56"/>
        </w:rPr>
        <w:br/>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Choosing the right place for a loved one to live, if not at home can be challenging. The options available depend on the kind of care that is needed, your loved one’s personal preferences, and finances. All facilities require a TB skin test and medical form completed by the doctor before admission.</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Some decisions can be made proactively, before there is a need, such as investigating independent living, Continuing Care Retirement Communities (CCRCs), or Multi-Level Retirement Communities (MLRCs). Other times the decision is made reactively—when the need is immediate. It may be helpful to find a facility that has multiple levels of care, or you may do well with a facility that does the one specific thing you need, e.g., dementia care. If you are comfortable with changes in living situations, you can make a decision based on current needs, knowing that you might have to change to a different situation as your loved one’s care needs increase.</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 xml:space="preserve">There is a spectrum of residential living facilities available to seniors and people with disabilities. They range from total independence to dependent care provided in skilled nursing </w:t>
      </w:r>
      <w:r w:rsidRPr="00BE07C6">
        <w:rPr>
          <w:color w:val="212529"/>
          <w:sz w:val="24"/>
          <w:szCs w:val="24"/>
        </w:rPr>
        <w:lastRenderedPageBreak/>
        <w:t xml:space="preserve">facilities. Below are the kinds of care outside the home that are found in most urban and suburban communities. Fewer housing options are available in rural communities. These facilities may go by different names in </w:t>
      </w:r>
      <w:r w:rsidR="00353FFB">
        <w:rPr>
          <w:color w:val="212529"/>
          <w:sz w:val="24"/>
          <w:szCs w:val="24"/>
        </w:rPr>
        <w:t>your area. To get information about specific local residential or s</w:t>
      </w:r>
      <w:r w:rsidRPr="00BE07C6">
        <w:rPr>
          <w:color w:val="212529"/>
          <w:sz w:val="24"/>
          <w:szCs w:val="24"/>
        </w:rPr>
        <w:t xml:space="preserve">enior housing </w:t>
      </w:r>
      <w:r w:rsidR="00353FFB">
        <w:rPr>
          <w:color w:val="212529"/>
          <w:sz w:val="24"/>
          <w:szCs w:val="24"/>
        </w:rPr>
        <w:t xml:space="preserve">options where you live, contact </w:t>
      </w:r>
      <w:r w:rsidR="00BE07C6">
        <w:rPr>
          <w:color w:val="212529"/>
          <w:sz w:val="24"/>
          <w:szCs w:val="24"/>
        </w:rPr>
        <w:t xml:space="preserve">your </w:t>
      </w:r>
      <w:r w:rsidR="00353FFB">
        <w:rPr>
          <w:color w:val="212529"/>
          <w:sz w:val="24"/>
          <w:szCs w:val="24"/>
        </w:rPr>
        <w:t xml:space="preserve">county’s </w:t>
      </w:r>
      <w:r w:rsidRPr="00BE07C6">
        <w:rPr>
          <w:color w:val="212529"/>
          <w:sz w:val="24"/>
          <w:szCs w:val="24"/>
        </w:rPr>
        <w:t>Area Agency on Aging</w:t>
      </w:r>
      <w:r w:rsidR="00353FFB">
        <w:rPr>
          <w:color w:val="212529"/>
          <w:sz w:val="24"/>
          <w:szCs w:val="24"/>
        </w:rPr>
        <w:t xml:space="preserve"> or Aging or Aging and Disability Resource Center (ADRC)</w:t>
      </w:r>
      <w:r w:rsidRPr="00BE07C6">
        <w:rPr>
          <w:color w:val="212529"/>
          <w:sz w:val="24"/>
          <w:szCs w:val="24"/>
        </w:rPr>
        <w:t>. In some areas you can find AAAs by dialing 211, or on FCA’s </w:t>
      </w:r>
      <w:hyperlink r:id="rId8" w:tgtFrame="_blank" w:history="1">
        <w:r w:rsidRPr="00BE07C6">
          <w:rPr>
            <w:rStyle w:val="Hyperlink"/>
            <w:sz w:val="24"/>
            <w:szCs w:val="24"/>
          </w:rPr>
          <w:t>Family Care Navigator</w:t>
        </w:r>
      </w:hyperlink>
      <w:r w:rsidRPr="00BE07C6">
        <w:rPr>
          <w:color w:val="212529"/>
          <w:sz w:val="24"/>
          <w:szCs w:val="24"/>
        </w:rPr>
        <w:t>.</w:t>
      </w:r>
    </w:p>
    <w:p w:rsidR="00353FFB" w:rsidRDefault="00353FFB" w:rsidP="00BE07C6">
      <w:pPr>
        <w:widowControl w:val="0"/>
        <w:pBdr>
          <w:top w:val="nil"/>
          <w:left w:val="nil"/>
          <w:bottom w:val="nil"/>
          <w:right w:val="nil"/>
          <w:between w:val="nil"/>
        </w:pBdr>
        <w:spacing w:before="128" w:line="360" w:lineRule="auto"/>
        <w:ind w:right="676"/>
        <w:rPr>
          <w:b/>
          <w:color w:val="212529"/>
          <w:sz w:val="28"/>
          <w:szCs w:val="28"/>
        </w:rPr>
      </w:pPr>
    </w:p>
    <w:p w:rsidR="00353FFB" w:rsidRDefault="00353FFB" w:rsidP="00BE07C6">
      <w:pPr>
        <w:widowControl w:val="0"/>
        <w:pBdr>
          <w:top w:val="nil"/>
          <w:left w:val="nil"/>
          <w:bottom w:val="nil"/>
          <w:right w:val="nil"/>
          <w:between w:val="nil"/>
        </w:pBdr>
        <w:spacing w:before="128" w:line="360" w:lineRule="auto"/>
        <w:ind w:right="676"/>
        <w:rPr>
          <w:b/>
          <w:color w:val="212529"/>
          <w:sz w:val="28"/>
          <w:szCs w:val="28"/>
        </w:rPr>
      </w:pPr>
    </w:p>
    <w:p w:rsidR="00411FB4" w:rsidRPr="00BE07C6" w:rsidRDefault="00411FB4" w:rsidP="00BE07C6">
      <w:pPr>
        <w:widowControl w:val="0"/>
        <w:pBdr>
          <w:top w:val="nil"/>
          <w:left w:val="nil"/>
          <w:bottom w:val="nil"/>
          <w:right w:val="nil"/>
          <w:between w:val="nil"/>
        </w:pBdr>
        <w:spacing w:before="128" w:line="360" w:lineRule="auto"/>
        <w:ind w:right="676"/>
        <w:rPr>
          <w:b/>
          <w:color w:val="212529"/>
          <w:sz w:val="28"/>
          <w:szCs w:val="28"/>
        </w:rPr>
      </w:pPr>
      <w:r w:rsidRPr="00BE07C6">
        <w:rPr>
          <w:b/>
          <w:color w:val="212529"/>
          <w:sz w:val="28"/>
          <w:szCs w:val="28"/>
        </w:rPr>
        <w:t>Independent Living</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Also known as Retirement Community or Senior Living Complex, this is a non-medical living situation that allows people to live in their own apartment. Some subsidized independent living is available for individuals with low income—often federally funded U.S. Department of Housing and Urban Development (HUD) housing.</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Provides: </w:t>
      </w:r>
      <w:r w:rsidRPr="00BE07C6">
        <w:rPr>
          <w:color w:val="212529"/>
          <w:sz w:val="24"/>
          <w:szCs w:val="24"/>
        </w:rPr>
        <w:t>May include an optional meal plan, housekeeping, social/recreational activities and outings, and transportation to shopping and medical appointments. Some offer emergency alert system in apartments.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Options:</w:t>
      </w:r>
      <w:r w:rsidRPr="00BE07C6">
        <w:rPr>
          <w:color w:val="212529"/>
          <w:sz w:val="24"/>
          <w:szCs w:val="24"/>
        </w:rPr>
        <w:t> For an extra charge, may include medication management and help with personal care.</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Requirements: </w:t>
      </w:r>
      <w:r w:rsidRPr="00BE07C6">
        <w:rPr>
          <w:color w:val="212529"/>
          <w:sz w:val="24"/>
          <w:szCs w:val="24"/>
        </w:rPr>
        <w:t>Ability to be active and independent in most aspects of life, such as socializing, walking, dressing/personal grooming, meal prep, money management, etc.</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Cost:</w:t>
      </w:r>
      <w:r w:rsidRPr="00BE07C6">
        <w:rPr>
          <w:color w:val="212529"/>
          <w:sz w:val="24"/>
          <w:szCs w:val="24"/>
        </w:rPr>
        <w:t xml:space="preserve"> Costs vary greatly due to location and overall scale of </w:t>
      </w:r>
      <w:r w:rsidRPr="00BE07C6">
        <w:rPr>
          <w:color w:val="212529"/>
          <w:sz w:val="24"/>
          <w:szCs w:val="24"/>
        </w:rPr>
        <w:lastRenderedPageBreak/>
        <w:t>the community. Available housing cost subsidies are typically governed by state and federal regulations. Most subsidized housing has a waiting list. Be sure to ask about the criteria for how someone is selected off of the list, e.g. first-come-first-serve, or need based, etc. If care services are needed, such as medication management, bathing assistance, etc., it may be available for purchase at the residence or hired independently through an outside agency.</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Advantages: </w:t>
      </w:r>
      <w:r w:rsidRPr="00BE07C6">
        <w:rPr>
          <w:color w:val="212529"/>
          <w:sz w:val="24"/>
          <w:szCs w:val="24"/>
        </w:rPr>
        <w:t>Independence and privacy; freedom to come and go as desired; freedom to cook for one’s self if you like; and sometimes larger apartments and resident parking.</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Disadvantages:</w:t>
      </w:r>
      <w:r w:rsidRPr="00BE07C6">
        <w:rPr>
          <w:color w:val="212529"/>
          <w:sz w:val="24"/>
          <w:szCs w:val="24"/>
        </w:rPr>
        <w:t> If a resident requires more care due to physical or cognitive decline, they might need to move to another facility or another level of care within this facility. Or the resident would be responsible for hiring in-home care in order to stay in the apartment.</w:t>
      </w:r>
    </w:p>
    <w:p w:rsidR="00411FB4" w:rsidRPr="00BE07C6" w:rsidRDefault="00411FB4" w:rsidP="00BE07C6">
      <w:pPr>
        <w:widowControl w:val="0"/>
        <w:pBdr>
          <w:top w:val="nil"/>
          <w:left w:val="nil"/>
          <w:bottom w:val="nil"/>
          <w:right w:val="nil"/>
          <w:between w:val="nil"/>
        </w:pBdr>
        <w:spacing w:before="128" w:line="360" w:lineRule="auto"/>
        <w:ind w:right="676"/>
        <w:rPr>
          <w:b/>
          <w:color w:val="212529"/>
          <w:sz w:val="28"/>
          <w:szCs w:val="28"/>
        </w:rPr>
      </w:pPr>
      <w:r w:rsidRPr="00BE07C6">
        <w:rPr>
          <w:b/>
          <w:color w:val="212529"/>
          <w:sz w:val="28"/>
          <w:szCs w:val="28"/>
        </w:rPr>
        <w:t>Board and Care</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Also known as Personal Care Homes, Assisted Living Homes, Residential Care Facilities, Residential Care Homes, Adult Home, Adult Foster Care. States have different names for this type of residence.</w:t>
      </w:r>
      <w:r w:rsidR="00E64A4F" w:rsidRPr="00BE07C6">
        <w:rPr>
          <w:color w:val="212529"/>
          <w:sz w:val="24"/>
          <w:szCs w:val="24"/>
        </w:rPr>
        <w:t xml:space="preserve"> </w:t>
      </w:r>
      <w:r w:rsidRPr="00BE07C6">
        <w:rPr>
          <w:color w:val="212529"/>
          <w:sz w:val="24"/>
          <w:szCs w:val="24"/>
        </w:rPr>
        <w:t xml:space="preserve">Non-medical care in a home with fewer than six residents; some private and some shared bedrooms. (Note: The number of residents permitted with this licensing varies from state to state.) Residents share living space, may share a bathroom. The goal is to provide small, intimate, and </w:t>
      </w:r>
      <w:r w:rsidRPr="00BE07C6">
        <w:rPr>
          <w:color w:val="212529"/>
          <w:sz w:val="24"/>
          <w:szCs w:val="24"/>
        </w:rPr>
        <w:lastRenderedPageBreak/>
        <w:t>personalized care in a home-like setting for residents.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Provides:</w:t>
      </w:r>
      <w:r w:rsidRPr="00BE07C6">
        <w:rPr>
          <w:color w:val="212529"/>
          <w:sz w:val="24"/>
          <w:szCs w:val="24"/>
        </w:rPr>
        <w:t> Meals, personal care (bathing, grooming, dressing, incontinence care, help with eating and meal prep, laundry), housekeeping. May offer activities and help with transportation to medical appointments.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Options:</w:t>
      </w:r>
      <w:r w:rsidRPr="00BE07C6">
        <w:rPr>
          <w:color w:val="212529"/>
          <w:sz w:val="24"/>
          <w:szCs w:val="24"/>
        </w:rPr>
        <w:t> Provides medication management, either self-administered or staff-administered, depending on licensing requirements. Some homes have special waivers or licenses to provide psychiatric care, dementia care, and hospice care. For people who have sleeping problems or who tend to wander, look for a home with staff who are awake at night (not all facilities offer this).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Requirements:</w:t>
      </w:r>
      <w:r w:rsidRPr="00BE07C6">
        <w:rPr>
          <w:color w:val="212529"/>
          <w:sz w:val="24"/>
          <w:szCs w:val="24"/>
        </w:rPr>
        <w:t> May have to be able to walk independently, although these residences usually will accept people using walkers and wheelchairs; may have to be able to transfer from bed or chair independently (except hospice patients). Special waivers may be required by state licensing for hospice care or dementia care.</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Costs:</w:t>
      </w:r>
      <w:r w:rsidRPr="00BE07C6">
        <w:rPr>
          <w:color w:val="212529"/>
          <w:sz w:val="24"/>
          <w:szCs w:val="24"/>
        </w:rPr>
        <w:t> Often lower than other facilities. Qualifies for long-term care insurance. In states with Medicaid 1915c waivers (HCBS waiver), the cost may be covered for those who qualify for Medicaid (Medi-Cal in California). Supplemental Security Income (SSI) covers the cost for Board and Care Facilities for certain conditions, such mental health patients and people with developmental disabilities. Medicare does not pay. Veteran Administration (VA) may pay.</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lastRenderedPageBreak/>
        <w:t>Advantages:</w:t>
      </w:r>
      <w:r w:rsidRPr="00BE07C6">
        <w:rPr>
          <w:color w:val="212529"/>
          <w:sz w:val="24"/>
          <w:szCs w:val="24"/>
        </w:rPr>
        <w:t> Hospice waiver, dementia waiver will allow a facility to provide specialized care. Smaller, home-like setting is good for residents who don’t like or need a lot of activity, but would thrive with more personal attention.</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Disadvantages:</w:t>
      </w:r>
      <w:r w:rsidRPr="00BE07C6">
        <w:rPr>
          <w:color w:val="212529"/>
          <w:sz w:val="24"/>
          <w:szCs w:val="24"/>
        </w:rPr>
        <w:t> May require the resident to transfer independently from bed to chair, etc., and not all have awake staff at night. The environment might not be as stimulating and varied as in a larger facility. May not offer transportation service to medical appointments or other places.</w:t>
      </w:r>
    </w:p>
    <w:p w:rsidR="00411FB4" w:rsidRPr="00BE07C6" w:rsidRDefault="0090796E" w:rsidP="00BE07C6">
      <w:pPr>
        <w:widowControl w:val="0"/>
        <w:pBdr>
          <w:top w:val="nil"/>
          <w:left w:val="nil"/>
          <w:bottom w:val="nil"/>
          <w:right w:val="nil"/>
          <w:between w:val="nil"/>
        </w:pBdr>
        <w:spacing w:before="128" w:line="360" w:lineRule="auto"/>
        <w:ind w:right="676"/>
        <w:rPr>
          <w:b/>
          <w:color w:val="212529"/>
          <w:sz w:val="28"/>
          <w:szCs w:val="28"/>
        </w:rPr>
      </w:pPr>
      <w:r w:rsidRPr="00BE07C6">
        <w:rPr>
          <w:b/>
          <w:color w:val="212529"/>
          <w:sz w:val="28"/>
          <w:szCs w:val="28"/>
        </w:rPr>
        <w:t>Assisted Living Facilities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Non-medical facility, larger than a Board and Care, with a building built especially for this purpose with up to several hundred residents. Most facilities offer levels of care, such as independent living, assisted living, and/or memory care unit. Rooms may be studio or one/two bedroom apartments. May or may not have cooking facilities. Each state has different regulations for what is and is not provided. Some are owned by for-profit businesses and others are owned by not-for-profit organizations. The ownership can have an impact on the culture of the residence. Service can vary greatly, so be sure to look beyond the attractive physical appearance of the building and grounds to confirm that the resident care services you need and desire are provided in a high quality manner.</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Provides:</w:t>
      </w:r>
      <w:r w:rsidRPr="00BE07C6">
        <w:rPr>
          <w:color w:val="212529"/>
          <w:sz w:val="24"/>
          <w:szCs w:val="24"/>
        </w:rPr>
        <w:t xml:space="preserve"> Meals, social and recreational activities, housekeeping, laundry, some transportation (often to doctors, </w:t>
      </w:r>
      <w:r w:rsidRPr="00BE07C6">
        <w:rPr>
          <w:color w:val="212529"/>
          <w:sz w:val="24"/>
          <w:szCs w:val="24"/>
        </w:rPr>
        <w:lastRenderedPageBreak/>
        <w:t>shopping, outings, etc.), medication management, 24-hour supervision.</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Options:</w:t>
      </w:r>
      <w:r w:rsidRPr="00BE07C6">
        <w:rPr>
          <w:color w:val="212529"/>
          <w:sz w:val="24"/>
          <w:szCs w:val="24"/>
        </w:rPr>
        <w:t> Most facilities either have levels of care or a “cafeteria” plan to accommodate changes in care needs. Either way, there is an additional charge for personal care, administering medication, assistance in getting to activities or meals, etc. Residents can receive a higher level of care as needed without moving to a different facility, unless medical needs require skilled nursing.</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Requirements:</w:t>
      </w:r>
      <w:r w:rsidRPr="00BE07C6">
        <w:rPr>
          <w:color w:val="212529"/>
          <w:sz w:val="24"/>
          <w:szCs w:val="24"/>
        </w:rPr>
        <w:t> May have to be able to walk independently or with a walking aid. Most accept wheelchairs. Usually need to be able to transfer from chair to bed or similar independently.</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Costs:</w:t>
      </w:r>
      <w:r w:rsidRPr="00BE07C6">
        <w:rPr>
          <w:color w:val="212529"/>
          <w:sz w:val="24"/>
          <w:szCs w:val="24"/>
        </w:rPr>
        <w:t xml:space="preserve"> There is a base rate for the kind of room that is rented, such as a studio. There is often a one-time admission fee which is often equivalent to the monthly facility charge. There are additional charges for added services. Memory care has a higher base rate. Qualifies for long- term care insurance. In states with Medicaid 1915c waivers (HCBS waiver), the cost may be covered for those who qualify for </w:t>
      </w:r>
      <w:r w:rsidR="00E64A4F" w:rsidRPr="00BE07C6">
        <w:rPr>
          <w:color w:val="212529"/>
          <w:sz w:val="24"/>
          <w:szCs w:val="24"/>
        </w:rPr>
        <w:t>Medicaid (BadgerCare in Wisconsin</w:t>
      </w:r>
      <w:r w:rsidRPr="00BE07C6">
        <w:rPr>
          <w:color w:val="212529"/>
          <w:sz w:val="24"/>
          <w:szCs w:val="24"/>
        </w:rPr>
        <w:t>). Medicare does not pay. VA may pay.</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Advantages:</w:t>
      </w:r>
      <w:r w:rsidRPr="00BE07C6">
        <w:rPr>
          <w:color w:val="212529"/>
          <w:sz w:val="24"/>
          <w:szCs w:val="24"/>
        </w:rPr>
        <w:t xml:space="preserve"> Works well for couples where the care needs may be different for each person. Provides socialization and a community so that residents don’t become isolated in their own homes. Most care needs can be provided in the facility. Often have a specialized section for memory/dementia care. </w:t>
      </w:r>
      <w:r w:rsidRPr="00BE07C6">
        <w:rPr>
          <w:color w:val="212529"/>
          <w:sz w:val="24"/>
          <w:szCs w:val="24"/>
        </w:rPr>
        <w:lastRenderedPageBreak/>
        <w:t>Help is always available. Hospice care is allowed in the facility.</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Disadvantages:</w:t>
      </w:r>
      <w:r w:rsidRPr="00BE07C6">
        <w:rPr>
          <w:color w:val="212529"/>
          <w:sz w:val="24"/>
          <w:szCs w:val="24"/>
        </w:rPr>
        <w:t> Large facility might be overwhelming and transition to new place might be harder. Takes longer to integrate into the community and find appropriate social relationships. Costs can be high depending on the community and the amount of care needed. Yearly fee increases are to be expected.</w:t>
      </w:r>
    </w:p>
    <w:p w:rsidR="00411FB4" w:rsidRPr="00BE07C6" w:rsidRDefault="00411FB4" w:rsidP="00BE07C6">
      <w:pPr>
        <w:widowControl w:val="0"/>
        <w:pBdr>
          <w:top w:val="nil"/>
          <w:left w:val="nil"/>
          <w:bottom w:val="nil"/>
          <w:right w:val="nil"/>
          <w:between w:val="nil"/>
        </w:pBdr>
        <w:spacing w:before="128" w:line="360" w:lineRule="auto"/>
        <w:ind w:right="676"/>
        <w:rPr>
          <w:b/>
          <w:color w:val="212529"/>
          <w:sz w:val="32"/>
          <w:szCs w:val="32"/>
        </w:rPr>
      </w:pPr>
      <w:r w:rsidRPr="00BE07C6">
        <w:rPr>
          <w:b/>
          <w:color w:val="212529"/>
          <w:sz w:val="28"/>
          <w:szCs w:val="28"/>
        </w:rPr>
        <w:t>Memory Care/Dementia Facility</w:t>
      </w:r>
      <w:r w:rsidR="00BE07C6">
        <w:rPr>
          <w:b/>
          <w:color w:val="212529"/>
          <w:sz w:val="32"/>
          <w:szCs w:val="32"/>
        </w:rPr>
        <w:br/>
      </w:r>
      <w:r w:rsidRPr="00BE07C6">
        <w:rPr>
          <w:color w:val="212529"/>
          <w:sz w:val="24"/>
          <w:szCs w:val="24"/>
        </w:rPr>
        <w:t xml:space="preserve">Memory care provides specialized care for those with cognitive impairments such as Alzheimer’s disease or similar conditions. This may be a free-standing residence or part of an Assisted Living facility/CCRC/ MLRC. Dementia facility staff are required to have special dementia care training, including continuing education. Facilities must have locked or delayed exit style doors, alert system, or auditory device to monitor exits, so as to provide safety for those who could get lost if they left the facility on their own. Outdoor facility space used by residents must be secured by a fence, gate, or delayed exit system. Residents must not have access to stoves, medications, or any conditions that may be hazardous. Activities are geared to the needs and abilities of the residents and are designed to engage them. Residents may have a private or shared room. Cost is generally higher than Assisted Living, although long-term care insurance and the VA may cover the costs. Medicaid 1915c waivers may also be </w:t>
      </w:r>
      <w:r w:rsidRPr="00BE07C6">
        <w:rPr>
          <w:color w:val="212529"/>
          <w:sz w:val="24"/>
          <w:szCs w:val="24"/>
        </w:rPr>
        <w:lastRenderedPageBreak/>
        <w:t>accepted.</w:t>
      </w:r>
    </w:p>
    <w:p w:rsidR="00411FB4" w:rsidRPr="00BE07C6" w:rsidRDefault="00411FB4" w:rsidP="00BE07C6">
      <w:pPr>
        <w:widowControl w:val="0"/>
        <w:pBdr>
          <w:top w:val="nil"/>
          <w:left w:val="nil"/>
          <w:bottom w:val="nil"/>
          <w:right w:val="nil"/>
          <w:between w:val="nil"/>
        </w:pBdr>
        <w:spacing w:before="128" w:line="360" w:lineRule="auto"/>
        <w:ind w:right="676"/>
        <w:rPr>
          <w:b/>
          <w:color w:val="212529"/>
          <w:sz w:val="28"/>
          <w:szCs w:val="28"/>
        </w:rPr>
      </w:pPr>
      <w:r w:rsidRPr="00BE07C6">
        <w:rPr>
          <w:b/>
          <w:color w:val="212529"/>
          <w:sz w:val="28"/>
          <w:szCs w:val="28"/>
        </w:rPr>
        <w:t>Skilled Nursing Facilities (SNFs)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Also known as Nursing Homes, Convalescent Hospitals, Rest Homes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SNFs provide care for individuals who need nursing care, but don’t need to be in a hospital. These are medical facilities with 24-hour nursing supervision, with a requirement that there be at least one RN on duty at all times. SNFs are able to help with complex medical treatment such as feeding tubes, ventilators, oxygen, wound care, injections (such as insulin) or IV medications, as well as care for someone who is bed-bound.</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Provides:</w:t>
      </w:r>
      <w:r w:rsidRPr="00BE07C6">
        <w:rPr>
          <w:color w:val="212529"/>
          <w:sz w:val="24"/>
          <w:szCs w:val="24"/>
        </w:rPr>
        <w:t> Rooms are similar to a hospital with one to three beds per room. Meals are provided as well as some social activities. For individuals needing rehabilitation, there are trained occupational and physical therapists on staff (Patients are often discharged to a SNF for short-term rehabilitation after hospitalization. This is usually covered by insurance.) Nursing care and personal care are provided at all times. Medications and more complex medical care provided.</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Options:</w:t>
      </w:r>
      <w:r w:rsidRPr="00BE07C6">
        <w:rPr>
          <w:color w:val="212529"/>
          <w:sz w:val="24"/>
          <w:szCs w:val="24"/>
        </w:rPr>
        <w:t> For a higher cost, an individual can have a single room. Therapies can continue if paid for privately after insurance coverage ends. There is a daily rate for patient care after insurance deems no more “skilled care” is needed (something that requires a professional to do).</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lastRenderedPageBreak/>
        <w:t>Requirements:</w:t>
      </w:r>
      <w:r w:rsidRPr="00BE07C6">
        <w:rPr>
          <w:color w:val="212529"/>
          <w:sz w:val="24"/>
          <w:szCs w:val="24"/>
        </w:rPr>
        <w:t> Facilities vary on what higher level of medical care is provided, for example, not all skilled nursing facilities will accept ventilators or feeding tubes.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Costs:</w:t>
      </w:r>
      <w:r w:rsidRPr="00BE07C6">
        <w:rPr>
          <w:color w:val="212529"/>
          <w:sz w:val="24"/>
          <w:szCs w:val="24"/>
        </w:rPr>
        <w:t> Nursing homes are the most expensive form of care. If a private room is desired, the cost is also much higher. Medicare will pay for rehabilitation for a maximum of 100 days after a hospitalization as long as there are skilled needs, e.g. ongoing physical therapy or certain medical procedures. Most stays for rehab are two to three weeks. Medicaid will pay for an individual to be in a nursing home indefinitely if they have ongoing care needs. Long-term care insurance and the VA also can be accessed to help cover part of the cost of nursing home care. Note: Not all nursing homes accept Medicaid. Medicare, Medicaid, and private insurance cover on a short term basis for rehabilitation. The VA has SNFs in some locations where veterans can get ongoing care.</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Advantages:</w:t>
      </w:r>
      <w:r w:rsidRPr="00BE07C6">
        <w:rPr>
          <w:color w:val="212529"/>
          <w:sz w:val="24"/>
          <w:szCs w:val="24"/>
        </w:rPr>
        <w:t> If resident qualifies for Medicaid, then costs for care are covered. All medical care is provided without the need to find additional care if health declines.</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b/>
          <w:bCs/>
          <w:color w:val="212529"/>
          <w:sz w:val="24"/>
          <w:szCs w:val="24"/>
        </w:rPr>
        <w:t>Disadvantages:</w:t>
      </w:r>
      <w:r w:rsidRPr="00BE07C6">
        <w:rPr>
          <w:color w:val="212529"/>
          <w:sz w:val="24"/>
          <w:szCs w:val="24"/>
        </w:rPr>
        <w:t> More institutional setting with other residents also more disabled, so these facilities may seem depressing.</w:t>
      </w:r>
    </w:p>
    <w:p w:rsidR="00411FB4" w:rsidRPr="00BE07C6" w:rsidRDefault="00411FB4" w:rsidP="00BE07C6">
      <w:pPr>
        <w:widowControl w:val="0"/>
        <w:pBdr>
          <w:top w:val="nil"/>
          <w:left w:val="nil"/>
          <w:bottom w:val="nil"/>
          <w:right w:val="nil"/>
          <w:between w:val="nil"/>
        </w:pBdr>
        <w:spacing w:before="128" w:line="360" w:lineRule="auto"/>
        <w:ind w:right="676"/>
        <w:rPr>
          <w:b/>
          <w:color w:val="212529"/>
          <w:sz w:val="28"/>
          <w:szCs w:val="28"/>
        </w:rPr>
      </w:pPr>
      <w:r w:rsidRPr="00BE07C6">
        <w:rPr>
          <w:b/>
          <w:color w:val="212529"/>
          <w:sz w:val="28"/>
          <w:szCs w:val="28"/>
        </w:rPr>
        <w:t>A Word About Cost</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 xml:space="preserve">Costs vary in different parts of the United States and change regularly. These are some websites that help you calculate the </w:t>
      </w:r>
      <w:r w:rsidRPr="00BE07C6">
        <w:rPr>
          <w:color w:val="212529"/>
          <w:sz w:val="24"/>
          <w:szCs w:val="24"/>
        </w:rPr>
        <w:lastRenderedPageBreak/>
        <w:t>costs in your area:</w:t>
      </w:r>
    </w:p>
    <w:p w:rsidR="00411FB4" w:rsidRPr="00BE07C6" w:rsidRDefault="00BF3942" w:rsidP="00411FB4">
      <w:pPr>
        <w:widowControl w:val="0"/>
        <w:numPr>
          <w:ilvl w:val="0"/>
          <w:numId w:val="7"/>
        </w:numPr>
        <w:pBdr>
          <w:top w:val="nil"/>
          <w:left w:val="nil"/>
          <w:bottom w:val="nil"/>
          <w:right w:val="nil"/>
          <w:between w:val="nil"/>
        </w:pBdr>
        <w:tabs>
          <w:tab w:val="num" w:pos="720"/>
        </w:tabs>
        <w:spacing w:before="128" w:line="360" w:lineRule="auto"/>
        <w:ind w:right="676"/>
        <w:rPr>
          <w:color w:val="212529"/>
          <w:sz w:val="24"/>
          <w:szCs w:val="24"/>
        </w:rPr>
      </w:pPr>
      <w:hyperlink r:id="rId9" w:tgtFrame="_blank" w:history="1">
        <w:r w:rsidR="00411FB4" w:rsidRPr="00BE07C6">
          <w:rPr>
            <w:rStyle w:val="Hyperlink"/>
            <w:sz w:val="24"/>
            <w:szCs w:val="24"/>
          </w:rPr>
          <w:t>https://longtermcare.acl.gov/costs-how-to-pay/index.html</w:t>
        </w:r>
      </w:hyperlink>
    </w:p>
    <w:p w:rsidR="00411FB4" w:rsidRPr="00BE07C6" w:rsidRDefault="00BF3942" w:rsidP="00411FB4">
      <w:pPr>
        <w:widowControl w:val="0"/>
        <w:numPr>
          <w:ilvl w:val="0"/>
          <w:numId w:val="7"/>
        </w:numPr>
        <w:pBdr>
          <w:top w:val="nil"/>
          <w:left w:val="nil"/>
          <w:bottom w:val="nil"/>
          <w:right w:val="nil"/>
          <w:between w:val="nil"/>
        </w:pBdr>
        <w:tabs>
          <w:tab w:val="num" w:pos="720"/>
        </w:tabs>
        <w:spacing w:before="128" w:line="360" w:lineRule="auto"/>
        <w:ind w:right="676"/>
        <w:rPr>
          <w:color w:val="212529"/>
          <w:sz w:val="24"/>
          <w:szCs w:val="24"/>
        </w:rPr>
      </w:pPr>
      <w:hyperlink r:id="rId10" w:tgtFrame="_blank" w:history="1">
        <w:r w:rsidR="00411FB4" w:rsidRPr="00BE07C6">
          <w:rPr>
            <w:rStyle w:val="Hyperlink"/>
            <w:sz w:val="24"/>
            <w:szCs w:val="24"/>
          </w:rPr>
          <w:t>http://canhr.org/NH_Data/index.html</w:t>
        </w:r>
      </w:hyperlink>
    </w:p>
    <w:p w:rsidR="00411FB4" w:rsidRPr="00BE07C6" w:rsidRDefault="00BF3942" w:rsidP="00411FB4">
      <w:pPr>
        <w:widowControl w:val="0"/>
        <w:numPr>
          <w:ilvl w:val="0"/>
          <w:numId w:val="7"/>
        </w:numPr>
        <w:pBdr>
          <w:top w:val="nil"/>
          <w:left w:val="nil"/>
          <w:bottom w:val="nil"/>
          <w:right w:val="nil"/>
          <w:between w:val="nil"/>
        </w:pBdr>
        <w:tabs>
          <w:tab w:val="num" w:pos="720"/>
        </w:tabs>
        <w:spacing w:before="128" w:line="360" w:lineRule="auto"/>
        <w:ind w:right="676"/>
        <w:rPr>
          <w:color w:val="212529"/>
          <w:sz w:val="24"/>
          <w:szCs w:val="24"/>
        </w:rPr>
      </w:pPr>
      <w:hyperlink r:id="rId11" w:tgtFrame="_blank" w:history="1">
        <w:r w:rsidR="00411FB4" w:rsidRPr="00BE07C6">
          <w:rPr>
            <w:rStyle w:val="Hyperlink"/>
            <w:sz w:val="24"/>
            <w:szCs w:val="24"/>
          </w:rPr>
          <w:t>www.itcfeds.com</w:t>
        </w:r>
      </w:hyperlink>
    </w:p>
    <w:p w:rsidR="00411FB4" w:rsidRPr="00BE07C6" w:rsidRDefault="00353FFB" w:rsidP="00BE07C6">
      <w:pPr>
        <w:widowControl w:val="0"/>
        <w:pBdr>
          <w:top w:val="nil"/>
          <w:left w:val="nil"/>
          <w:bottom w:val="nil"/>
          <w:right w:val="nil"/>
          <w:between w:val="nil"/>
        </w:pBdr>
        <w:spacing w:before="128" w:line="360" w:lineRule="auto"/>
        <w:ind w:right="676"/>
        <w:rPr>
          <w:b/>
          <w:color w:val="212529"/>
          <w:sz w:val="28"/>
          <w:szCs w:val="28"/>
        </w:rPr>
      </w:pPr>
      <w:r>
        <w:rPr>
          <w:color w:val="212529"/>
          <w:sz w:val="28"/>
          <w:szCs w:val="28"/>
        </w:rPr>
        <w:br/>
      </w:r>
      <w:r w:rsidR="00411FB4" w:rsidRPr="00BE07C6">
        <w:rPr>
          <w:b/>
          <w:color w:val="212529"/>
          <w:sz w:val="28"/>
          <w:szCs w:val="28"/>
        </w:rPr>
        <w:t>Where to Find Help</w:t>
      </w:r>
    </w:p>
    <w:p w:rsidR="00411FB4" w:rsidRPr="00BE07C6"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 xml:space="preserve">The first place a Wisconsin resident should go for help is the local Aging and Disability Resource Center. Every community has one. To find yours, visit </w:t>
      </w:r>
      <w:hyperlink r:id="rId12" w:history="1">
        <w:r w:rsidRPr="00BE07C6">
          <w:rPr>
            <w:rStyle w:val="Hyperlink"/>
            <w:sz w:val="24"/>
            <w:szCs w:val="24"/>
          </w:rPr>
          <w:t>https://wisconsincaregiver.org/</w:t>
        </w:r>
      </w:hyperlink>
      <w:r w:rsidRPr="00BE07C6">
        <w:rPr>
          <w:color w:val="212529"/>
          <w:sz w:val="24"/>
          <w:szCs w:val="24"/>
        </w:rPr>
        <w:t xml:space="preserve">. </w:t>
      </w:r>
    </w:p>
    <w:p w:rsidR="00411FB4" w:rsidRDefault="00411FB4" w:rsidP="00BE07C6">
      <w:pPr>
        <w:widowControl w:val="0"/>
        <w:pBdr>
          <w:top w:val="nil"/>
          <w:left w:val="nil"/>
          <w:bottom w:val="nil"/>
          <w:right w:val="nil"/>
          <w:between w:val="nil"/>
        </w:pBdr>
        <w:spacing w:before="128" w:line="360" w:lineRule="auto"/>
        <w:ind w:right="676"/>
        <w:rPr>
          <w:color w:val="212529"/>
          <w:sz w:val="24"/>
          <w:szCs w:val="24"/>
        </w:rPr>
      </w:pPr>
      <w:r w:rsidRPr="00BE07C6">
        <w:rPr>
          <w:color w:val="212529"/>
          <w:sz w:val="24"/>
          <w:szCs w:val="24"/>
        </w:rPr>
        <w:t xml:space="preserve">Often your best resource is word of mouth and online rating services with honest consumer reviews. If you have friends or family who have had positive experience with a given facility, check with them first. Professional in-person and online senior housing finding services and private case managers who can be hired to manage the search for appropriate housing can help. Although some are free to you, typically they receive a finding fee from the facility if their referral results in a contract to move to the facility. Given this incentive, be sure to ask if their senior housing recommendations include all possible facilities that fit your requirements or only those who they have a fee arrangement. </w:t>
      </w:r>
      <w:r w:rsidRPr="00BE07C6">
        <w:rPr>
          <w:color w:val="212529"/>
          <w:sz w:val="24"/>
          <w:szCs w:val="24"/>
        </w:rPr>
        <w:br/>
        <w:t>Different agencies specialize in different kinds of facilities, so you want to find one that can help you find the kind of care you need.</w:t>
      </w:r>
    </w:p>
    <w:p w:rsidR="00353FFB" w:rsidRDefault="00353FFB" w:rsidP="00BE07C6">
      <w:pPr>
        <w:widowControl w:val="0"/>
        <w:pBdr>
          <w:top w:val="nil"/>
          <w:left w:val="nil"/>
          <w:bottom w:val="nil"/>
          <w:right w:val="nil"/>
          <w:between w:val="nil"/>
        </w:pBdr>
        <w:spacing w:before="128" w:line="360" w:lineRule="auto"/>
        <w:ind w:right="676"/>
        <w:rPr>
          <w:color w:val="212529"/>
          <w:sz w:val="24"/>
          <w:szCs w:val="24"/>
        </w:rPr>
      </w:pPr>
    </w:p>
    <w:p w:rsidR="00353FFB" w:rsidRPr="00353FFB" w:rsidRDefault="00353FFB" w:rsidP="00353FFB">
      <w:pPr>
        <w:widowControl w:val="0"/>
        <w:pBdr>
          <w:top w:val="nil"/>
          <w:left w:val="nil"/>
          <w:bottom w:val="nil"/>
          <w:right w:val="nil"/>
          <w:between w:val="nil"/>
        </w:pBdr>
        <w:spacing w:line="360" w:lineRule="auto"/>
        <w:ind w:right="676"/>
        <w:rPr>
          <w:b/>
          <w:color w:val="212529"/>
          <w:sz w:val="28"/>
          <w:szCs w:val="28"/>
        </w:rPr>
      </w:pPr>
      <w:r w:rsidRPr="00353FFB">
        <w:rPr>
          <w:b/>
          <w:color w:val="212529"/>
          <w:sz w:val="28"/>
          <w:szCs w:val="28"/>
        </w:rPr>
        <w:t>Other Tip Sheets</w:t>
      </w:r>
    </w:p>
    <w:p w:rsidR="00F71E24" w:rsidRPr="00353FFB" w:rsidRDefault="00C4721D" w:rsidP="00353FFB">
      <w:pPr>
        <w:widowControl w:val="0"/>
        <w:pBdr>
          <w:top w:val="nil"/>
          <w:left w:val="nil"/>
          <w:bottom w:val="nil"/>
          <w:right w:val="nil"/>
          <w:between w:val="nil"/>
        </w:pBdr>
        <w:spacing w:line="360" w:lineRule="auto"/>
        <w:ind w:left="720"/>
        <w:rPr>
          <w:color w:val="EC6B00"/>
          <w:sz w:val="24"/>
          <w:szCs w:val="24"/>
        </w:rPr>
      </w:pPr>
      <w:r w:rsidRPr="00353FFB">
        <w:rPr>
          <w:color w:val="212529"/>
          <w:sz w:val="24"/>
          <w:szCs w:val="24"/>
        </w:rPr>
        <w:lastRenderedPageBreak/>
        <w:t xml:space="preserve">1. </w:t>
      </w:r>
      <w:hyperlink r:id="rId13" w:history="1">
        <w:r w:rsidR="00987382" w:rsidRPr="00353FFB">
          <w:rPr>
            <w:rStyle w:val="Hyperlink"/>
            <w:sz w:val="24"/>
            <w:szCs w:val="24"/>
          </w:rPr>
          <w:t>The Right Time</w:t>
        </w:r>
      </w:hyperlink>
      <w:r w:rsidR="00BE07C6" w:rsidRPr="00353FFB">
        <w:rPr>
          <w:rStyle w:val="Hyperlink"/>
          <w:sz w:val="24"/>
          <w:szCs w:val="24"/>
        </w:rPr>
        <w:br/>
      </w:r>
      <w:r w:rsidRPr="00353FFB">
        <w:rPr>
          <w:color w:val="212529"/>
          <w:sz w:val="24"/>
          <w:szCs w:val="24"/>
        </w:rPr>
        <w:t xml:space="preserve">2. </w:t>
      </w:r>
      <w:hyperlink r:id="rId14" w:history="1">
        <w:r w:rsidR="00987382" w:rsidRPr="00353FFB">
          <w:rPr>
            <w:rStyle w:val="Hyperlink"/>
            <w:sz w:val="24"/>
            <w:szCs w:val="24"/>
          </w:rPr>
          <w:t>Housing Options</w:t>
        </w:r>
      </w:hyperlink>
    </w:p>
    <w:p w:rsidR="00F71E24" w:rsidRPr="00353FFB" w:rsidRDefault="00C4721D" w:rsidP="00353FFB">
      <w:pPr>
        <w:widowControl w:val="0"/>
        <w:pBdr>
          <w:top w:val="nil"/>
          <w:left w:val="nil"/>
          <w:bottom w:val="nil"/>
          <w:right w:val="nil"/>
          <w:between w:val="nil"/>
        </w:pBdr>
        <w:spacing w:line="360" w:lineRule="auto"/>
        <w:ind w:firstLine="720"/>
        <w:rPr>
          <w:color w:val="EC6B00"/>
          <w:sz w:val="24"/>
          <w:szCs w:val="24"/>
        </w:rPr>
      </w:pPr>
      <w:r w:rsidRPr="00353FFB">
        <w:rPr>
          <w:color w:val="212529"/>
          <w:sz w:val="24"/>
          <w:szCs w:val="24"/>
        </w:rPr>
        <w:t xml:space="preserve">3. </w:t>
      </w:r>
      <w:hyperlink r:id="rId15" w:history="1">
        <w:r w:rsidR="00987382" w:rsidRPr="00353FFB">
          <w:rPr>
            <w:rStyle w:val="Hyperlink"/>
            <w:sz w:val="24"/>
            <w:szCs w:val="24"/>
          </w:rPr>
          <w:t>Choosing The Right Place</w:t>
        </w:r>
      </w:hyperlink>
    </w:p>
    <w:p w:rsidR="00F71E24" w:rsidRPr="00353FFB" w:rsidRDefault="00C4721D" w:rsidP="00353FFB">
      <w:pPr>
        <w:widowControl w:val="0"/>
        <w:pBdr>
          <w:top w:val="nil"/>
          <w:left w:val="nil"/>
          <w:bottom w:val="nil"/>
          <w:right w:val="nil"/>
          <w:between w:val="nil"/>
        </w:pBdr>
        <w:spacing w:line="360" w:lineRule="auto"/>
        <w:ind w:firstLine="720"/>
        <w:rPr>
          <w:color w:val="EC6B00"/>
          <w:sz w:val="24"/>
          <w:szCs w:val="24"/>
        </w:rPr>
      </w:pPr>
      <w:r w:rsidRPr="00353FFB">
        <w:rPr>
          <w:color w:val="212529"/>
          <w:sz w:val="24"/>
          <w:szCs w:val="24"/>
        </w:rPr>
        <w:t xml:space="preserve">4. </w:t>
      </w:r>
      <w:hyperlink r:id="rId16" w:history="1">
        <w:r w:rsidR="00987382" w:rsidRPr="00353FFB">
          <w:rPr>
            <w:rStyle w:val="Hyperlink"/>
            <w:sz w:val="24"/>
            <w:szCs w:val="24"/>
          </w:rPr>
          <w:t>Caregiving Doesn't End When Your Loved One Moves</w:t>
        </w:r>
      </w:hyperlink>
    </w:p>
    <w:p w:rsidR="00987382" w:rsidRPr="00BE07C6" w:rsidRDefault="00987382" w:rsidP="00353FFB">
      <w:pPr>
        <w:widowControl w:val="0"/>
        <w:pBdr>
          <w:top w:val="nil"/>
          <w:left w:val="nil"/>
          <w:bottom w:val="nil"/>
          <w:right w:val="nil"/>
          <w:between w:val="nil"/>
        </w:pBdr>
        <w:spacing w:line="360" w:lineRule="auto"/>
        <w:ind w:firstLine="720"/>
        <w:rPr>
          <w:color w:val="212529"/>
          <w:sz w:val="28"/>
          <w:szCs w:val="28"/>
        </w:rPr>
      </w:pPr>
      <w:r w:rsidRPr="00353FFB">
        <w:rPr>
          <w:color w:val="212529"/>
          <w:sz w:val="24"/>
          <w:szCs w:val="24"/>
        </w:rPr>
        <w:t xml:space="preserve">5. </w:t>
      </w:r>
      <w:hyperlink r:id="rId17" w:history="1">
        <w:r w:rsidRPr="00353FFB">
          <w:rPr>
            <w:rStyle w:val="Hyperlink"/>
            <w:sz w:val="24"/>
            <w:szCs w:val="24"/>
          </w:rPr>
          <w:t>Visiting Someone With Dementia</w:t>
        </w:r>
      </w:hyperlink>
      <w:r w:rsidR="00C4721D">
        <w:rPr>
          <w:color w:val="212529"/>
          <w:sz w:val="28"/>
          <w:szCs w:val="28"/>
        </w:rPr>
        <w:br/>
      </w:r>
    </w:p>
    <w:p w:rsidR="00BE07C6" w:rsidRPr="00BE07C6" w:rsidRDefault="00BE07C6" w:rsidP="00BE07C6">
      <w:pPr>
        <w:widowControl w:val="0"/>
        <w:rPr>
          <w:b/>
          <w:color w:val="212529"/>
          <w:sz w:val="28"/>
          <w:szCs w:val="28"/>
        </w:rPr>
      </w:pPr>
      <w:r w:rsidRPr="00BE07C6">
        <w:rPr>
          <w:b/>
          <w:color w:val="212529"/>
          <w:sz w:val="28"/>
          <w:szCs w:val="28"/>
        </w:rPr>
        <w:t>More Resources</w:t>
      </w:r>
    </w:p>
    <w:p w:rsidR="00F71E24" w:rsidRPr="00BE07C6" w:rsidRDefault="00C4721D" w:rsidP="00BE07C6">
      <w:pPr>
        <w:pStyle w:val="ListParagraph"/>
        <w:widowControl w:val="0"/>
        <w:numPr>
          <w:ilvl w:val="0"/>
          <w:numId w:val="7"/>
        </w:numPr>
        <w:rPr>
          <w:b/>
          <w:color w:val="212529"/>
          <w:sz w:val="28"/>
          <w:szCs w:val="28"/>
        </w:rPr>
      </w:pPr>
      <w:r w:rsidRPr="00BE07C6">
        <w:rPr>
          <w:b/>
          <w:color w:val="212529"/>
          <w:sz w:val="24"/>
          <w:szCs w:val="24"/>
        </w:rPr>
        <w:t xml:space="preserve">Family Caregiver Alliance </w:t>
      </w:r>
      <w:r w:rsidRPr="00BE07C6">
        <w:rPr>
          <w:b/>
          <w:i/>
          <w:color w:val="212529"/>
          <w:sz w:val="24"/>
          <w:szCs w:val="24"/>
        </w:rPr>
        <w:t xml:space="preserve">National Center on Caregiving </w:t>
      </w:r>
    </w:p>
    <w:p w:rsidR="00F71E24" w:rsidRPr="00BE07C6" w:rsidRDefault="00C4721D" w:rsidP="006A241A">
      <w:pPr>
        <w:widowControl w:val="0"/>
        <w:ind w:left="947" w:firstLine="492"/>
        <w:rPr>
          <w:color w:val="212529"/>
          <w:sz w:val="24"/>
          <w:szCs w:val="24"/>
        </w:rPr>
      </w:pPr>
      <w:r w:rsidRPr="00BE07C6">
        <w:rPr>
          <w:color w:val="212529"/>
          <w:sz w:val="24"/>
          <w:szCs w:val="24"/>
        </w:rPr>
        <w:t xml:space="preserve">(415) 434-3388 | (800) 445-8106 </w:t>
      </w:r>
    </w:p>
    <w:p w:rsidR="00F71E24" w:rsidRPr="00BE07C6" w:rsidRDefault="00C4721D" w:rsidP="00F86858">
      <w:pPr>
        <w:widowControl w:val="0"/>
        <w:ind w:left="927" w:firstLine="512"/>
        <w:rPr>
          <w:color w:val="212529"/>
          <w:sz w:val="24"/>
          <w:szCs w:val="24"/>
        </w:rPr>
      </w:pPr>
      <w:r w:rsidRPr="00BE07C6">
        <w:rPr>
          <w:color w:val="212529"/>
          <w:sz w:val="24"/>
          <w:szCs w:val="24"/>
        </w:rPr>
        <w:t xml:space="preserve">Website: </w:t>
      </w:r>
      <w:hyperlink r:id="rId18" w:history="1">
        <w:r w:rsidR="00F86858" w:rsidRPr="00BE07C6">
          <w:rPr>
            <w:rStyle w:val="Hyperlink"/>
            <w:sz w:val="24"/>
            <w:szCs w:val="24"/>
          </w:rPr>
          <w:t>https://caregiver.org/</w:t>
        </w:r>
      </w:hyperlink>
      <w:r w:rsidR="00F86858" w:rsidRPr="00BE07C6">
        <w:rPr>
          <w:color w:val="212529"/>
          <w:sz w:val="24"/>
          <w:szCs w:val="24"/>
        </w:rPr>
        <w:t xml:space="preserve"> </w:t>
      </w:r>
      <w:r w:rsidR="00BE07C6">
        <w:rPr>
          <w:color w:val="212529"/>
          <w:sz w:val="24"/>
          <w:szCs w:val="24"/>
        </w:rPr>
        <w:br/>
      </w:r>
    </w:p>
    <w:p w:rsidR="00F71E24" w:rsidRPr="00BE07C6" w:rsidRDefault="00F86858" w:rsidP="00BE07C6">
      <w:pPr>
        <w:pStyle w:val="ListParagraph"/>
        <w:widowControl w:val="0"/>
        <w:numPr>
          <w:ilvl w:val="0"/>
          <w:numId w:val="7"/>
        </w:numPr>
        <w:rPr>
          <w:sz w:val="28"/>
          <w:szCs w:val="28"/>
        </w:rPr>
      </w:pPr>
      <w:r w:rsidRPr="00BE07C6">
        <w:rPr>
          <w:color w:val="212529"/>
          <w:sz w:val="24"/>
          <w:szCs w:val="24"/>
        </w:rPr>
        <w:t xml:space="preserve">Visit </w:t>
      </w:r>
      <w:hyperlink r:id="rId19" w:history="1">
        <w:r w:rsidRPr="00BE07C6">
          <w:rPr>
            <w:rStyle w:val="Hyperlink"/>
            <w:b/>
            <w:sz w:val="24"/>
            <w:szCs w:val="24"/>
          </w:rPr>
          <w:t>WisconsinCaregiver.org</w:t>
        </w:r>
      </w:hyperlink>
      <w:r w:rsidRPr="00BE07C6">
        <w:rPr>
          <w:b/>
          <w:sz w:val="24"/>
          <w:szCs w:val="24"/>
        </w:rPr>
        <w:t xml:space="preserve"> </w:t>
      </w:r>
      <w:r w:rsidRPr="00BE07C6">
        <w:rPr>
          <w:sz w:val="24"/>
          <w:szCs w:val="24"/>
        </w:rPr>
        <w:t>for free online training, resources, and connections to local programs that can support you in your caregiving role.</w:t>
      </w:r>
      <w:r w:rsidR="00295B4C" w:rsidRPr="00BE07C6">
        <w:rPr>
          <w:sz w:val="24"/>
          <w:szCs w:val="24"/>
        </w:rPr>
        <w:br/>
      </w: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411FB4" w:rsidRDefault="00411FB4">
      <w:pPr>
        <w:widowControl w:val="0"/>
        <w:spacing w:line="240" w:lineRule="auto"/>
        <w:jc w:val="center"/>
        <w:rPr>
          <w:i/>
          <w:color w:val="212529"/>
        </w:rPr>
      </w:pPr>
    </w:p>
    <w:p w:rsidR="00411FB4" w:rsidRDefault="00411FB4">
      <w:pPr>
        <w:widowControl w:val="0"/>
        <w:spacing w:line="240" w:lineRule="auto"/>
        <w:jc w:val="center"/>
        <w:rPr>
          <w:i/>
          <w:color w:val="212529"/>
        </w:rPr>
      </w:pPr>
    </w:p>
    <w:sectPr w:rsidR="00411FB4" w:rsidSect="00BE07C6">
      <w:headerReference w:type="default" r:id="rId20"/>
      <w:footerReference w:type="default" r:id="rId21"/>
      <w:pgSz w:w="12240" w:h="15840" w:code="1"/>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21D" w:rsidRDefault="00C4721D" w:rsidP="00BF702A">
      <w:pPr>
        <w:spacing w:line="240" w:lineRule="auto"/>
      </w:pPr>
      <w:r>
        <w:separator/>
      </w:r>
    </w:p>
  </w:endnote>
  <w:endnote w:type="continuationSeparator" w:id="0">
    <w:p w:rsidR="00C4721D" w:rsidRDefault="00C4721D" w:rsidP="00BF7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046982"/>
      <w:docPartObj>
        <w:docPartGallery w:val="Page Numbers (Bottom of Page)"/>
        <w:docPartUnique/>
      </w:docPartObj>
    </w:sdtPr>
    <w:sdtEndPr>
      <w:rPr>
        <w:noProof/>
      </w:rPr>
    </w:sdtEndPr>
    <w:sdtContent>
      <w:p w:rsidR="00BF702A" w:rsidRDefault="00BF702A">
        <w:pPr>
          <w:pStyle w:val="Footer"/>
          <w:jc w:val="right"/>
        </w:pPr>
        <w:r>
          <w:fldChar w:fldCharType="begin"/>
        </w:r>
        <w:r>
          <w:instrText xml:space="preserve"> PAGE   \* MERGEFORMAT </w:instrText>
        </w:r>
        <w:r>
          <w:fldChar w:fldCharType="separate"/>
        </w:r>
        <w:r w:rsidR="00BF3942">
          <w:rPr>
            <w:noProof/>
          </w:rPr>
          <w:t>1</w:t>
        </w:r>
        <w:r>
          <w:rPr>
            <w:noProof/>
          </w:rPr>
          <w:fldChar w:fldCharType="end"/>
        </w:r>
      </w:p>
    </w:sdtContent>
  </w:sdt>
  <w:p w:rsidR="00BE07C6" w:rsidRDefault="00BE07C6" w:rsidP="00BE07C6">
    <w:pPr>
      <w:pStyle w:val="Footer"/>
      <w:jc w:val="center"/>
      <w:rPr>
        <w:i/>
      </w:rPr>
    </w:pPr>
    <w:r w:rsidRPr="00BE07C6">
      <w:rPr>
        <w:i/>
      </w:rPr>
      <w:t>Tip sheet prepared by Family Caregiver Alliance and funded by the</w:t>
    </w:r>
  </w:p>
  <w:p w:rsidR="00BE07C6" w:rsidRPr="00BE07C6" w:rsidRDefault="00BE07C6" w:rsidP="00BE07C6">
    <w:pPr>
      <w:pStyle w:val="Footer"/>
      <w:jc w:val="center"/>
      <w:rPr>
        <w:i/>
      </w:rPr>
    </w:pPr>
    <w:r w:rsidRPr="00BE07C6">
      <w:rPr>
        <w:i/>
      </w:rPr>
      <w:t>California Department of Health Care Services.</w:t>
    </w:r>
  </w:p>
  <w:p w:rsidR="00BF702A" w:rsidRPr="00BE07C6" w:rsidRDefault="00BE07C6" w:rsidP="00BE07C6">
    <w:pPr>
      <w:pStyle w:val="Footer"/>
      <w:jc w:val="center"/>
      <w:rPr>
        <w:i/>
      </w:rPr>
    </w:pPr>
    <w:r w:rsidRPr="00BE07C6">
      <w:rPr>
        <w:i/>
      </w:rPr>
      <w:t>© 2016 Family Caregiver Alliance.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21D" w:rsidRDefault="00C4721D" w:rsidP="00BF702A">
      <w:pPr>
        <w:spacing w:line="240" w:lineRule="auto"/>
      </w:pPr>
      <w:r>
        <w:separator/>
      </w:r>
    </w:p>
  </w:footnote>
  <w:footnote w:type="continuationSeparator" w:id="0">
    <w:p w:rsidR="00C4721D" w:rsidRDefault="00C4721D" w:rsidP="00BF7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27" w:rsidRDefault="00487827">
    <w:pPr>
      <w:pStyle w:val="Header"/>
    </w:pPr>
    <w:r>
      <w:rPr>
        <w:noProof/>
      </w:rPr>
      <mc:AlternateContent>
        <mc:Choice Requires="wps">
          <w:drawing>
            <wp:inline distT="0" distB="0" distL="0" distR="0" wp14:anchorId="44E57B53" wp14:editId="4EC6E93E">
              <wp:extent cx="306705" cy="306705"/>
              <wp:effectExtent l="0" t="0" r="0" b="0"/>
              <wp:docPr id="3" name="AutoShape 5" descr="FCA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2FA81F" id="AutoShape 5" o:spid="_x0000_s1026" alt="FCA logo"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653B0"/>
    <w:multiLevelType w:val="multilevel"/>
    <w:tmpl w:val="8BFCD4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24FE5588"/>
    <w:multiLevelType w:val="multilevel"/>
    <w:tmpl w:val="2BEE9F2C"/>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 w15:restartNumberingAfterBreak="0">
    <w:nsid w:val="5D0126E2"/>
    <w:multiLevelType w:val="multilevel"/>
    <w:tmpl w:val="DCB83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6074078B"/>
    <w:multiLevelType w:val="multilevel"/>
    <w:tmpl w:val="080AA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204BFA"/>
    <w:multiLevelType w:val="multilevel"/>
    <w:tmpl w:val="EE62B70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73154326"/>
    <w:multiLevelType w:val="multilevel"/>
    <w:tmpl w:val="B378B6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7E607186"/>
    <w:multiLevelType w:val="multilevel"/>
    <w:tmpl w:val="CF5EE01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4"/>
  </w:num>
  <w:num w:numId="2">
    <w:abstractNumId w:val="0"/>
  </w:num>
  <w:num w:numId="3">
    <w:abstractNumId w:val="1"/>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24"/>
    <w:rsid w:val="00050F23"/>
    <w:rsid w:val="00143B4F"/>
    <w:rsid w:val="00150D51"/>
    <w:rsid w:val="00295B4C"/>
    <w:rsid w:val="00353FFB"/>
    <w:rsid w:val="003E101B"/>
    <w:rsid w:val="00411FB4"/>
    <w:rsid w:val="00430F38"/>
    <w:rsid w:val="00487827"/>
    <w:rsid w:val="006A241A"/>
    <w:rsid w:val="00710A1E"/>
    <w:rsid w:val="00777721"/>
    <w:rsid w:val="007F0465"/>
    <w:rsid w:val="008F72E7"/>
    <w:rsid w:val="009046F1"/>
    <w:rsid w:val="0090796E"/>
    <w:rsid w:val="00987382"/>
    <w:rsid w:val="009C4BDC"/>
    <w:rsid w:val="00A30201"/>
    <w:rsid w:val="00B32AF4"/>
    <w:rsid w:val="00B45C2B"/>
    <w:rsid w:val="00BE07C6"/>
    <w:rsid w:val="00BF3942"/>
    <w:rsid w:val="00BF702A"/>
    <w:rsid w:val="00C4721D"/>
    <w:rsid w:val="00C96192"/>
    <w:rsid w:val="00D656CE"/>
    <w:rsid w:val="00E64A4F"/>
    <w:rsid w:val="00EC4400"/>
    <w:rsid w:val="00EE47F5"/>
    <w:rsid w:val="00F700EA"/>
    <w:rsid w:val="00F71E24"/>
    <w:rsid w:val="00F81BF0"/>
    <w:rsid w:val="00F86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36ABE"/>
  <w15:docId w15:val="{7EC3687B-B936-4BE0-AC6F-2ECC313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87382"/>
    <w:rPr>
      <w:color w:val="0000FF" w:themeColor="hyperlink"/>
      <w:u w:val="single"/>
    </w:rPr>
  </w:style>
  <w:style w:type="paragraph" w:styleId="Header">
    <w:name w:val="header"/>
    <w:basedOn w:val="Normal"/>
    <w:link w:val="HeaderChar"/>
    <w:uiPriority w:val="99"/>
    <w:unhideWhenUsed/>
    <w:rsid w:val="00BF702A"/>
    <w:pPr>
      <w:tabs>
        <w:tab w:val="center" w:pos="4680"/>
        <w:tab w:val="right" w:pos="9360"/>
      </w:tabs>
      <w:spacing w:line="240" w:lineRule="auto"/>
    </w:pPr>
  </w:style>
  <w:style w:type="character" w:customStyle="1" w:styleId="HeaderChar">
    <w:name w:val="Header Char"/>
    <w:basedOn w:val="DefaultParagraphFont"/>
    <w:link w:val="Header"/>
    <w:uiPriority w:val="99"/>
    <w:rsid w:val="00BF702A"/>
  </w:style>
  <w:style w:type="paragraph" w:styleId="Footer">
    <w:name w:val="footer"/>
    <w:basedOn w:val="Normal"/>
    <w:link w:val="FooterChar"/>
    <w:uiPriority w:val="99"/>
    <w:unhideWhenUsed/>
    <w:rsid w:val="00BF702A"/>
    <w:pPr>
      <w:tabs>
        <w:tab w:val="center" w:pos="4680"/>
        <w:tab w:val="right" w:pos="9360"/>
      </w:tabs>
      <w:spacing w:line="240" w:lineRule="auto"/>
    </w:pPr>
  </w:style>
  <w:style w:type="character" w:customStyle="1" w:styleId="FooterChar">
    <w:name w:val="Footer Char"/>
    <w:basedOn w:val="DefaultParagraphFont"/>
    <w:link w:val="Footer"/>
    <w:uiPriority w:val="99"/>
    <w:rsid w:val="00BF702A"/>
  </w:style>
  <w:style w:type="character" w:styleId="FollowedHyperlink">
    <w:name w:val="FollowedHyperlink"/>
    <w:basedOn w:val="DefaultParagraphFont"/>
    <w:uiPriority w:val="99"/>
    <w:semiHidden/>
    <w:unhideWhenUsed/>
    <w:rsid w:val="00411FB4"/>
    <w:rPr>
      <w:color w:val="800080" w:themeColor="followedHyperlink"/>
      <w:u w:val="single"/>
    </w:rPr>
  </w:style>
  <w:style w:type="paragraph" w:styleId="ListParagraph">
    <w:name w:val="List Paragraph"/>
    <w:basedOn w:val="Normal"/>
    <w:uiPriority w:val="34"/>
    <w:qFormat/>
    <w:rsid w:val="00BE0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749123">
      <w:bodyDiv w:val="1"/>
      <w:marLeft w:val="0"/>
      <w:marRight w:val="0"/>
      <w:marTop w:val="0"/>
      <w:marBottom w:val="0"/>
      <w:divBdr>
        <w:top w:val="none" w:sz="0" w:space="0" w:color="auto"/>
        <w:left w:val="none" w:sz="0" w:space="0" w:color="auto"/>
        <w:bottom w:val="none" w:sz="0" w:space="0" w:color="auto"/>
        <w:right w:val="none" w:sz="0" w:space="0" w:color="auto"/>
      </w:divBdr>
    </w:div>
    <w:div w:id="1798916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regiver.org/family-care-navigator" TargetMode="External"/><Relationship Id="rId13" Type="http://schemas.openxmlformats.org/officeDocument/2006/relationships/hyperlink" Target="https://www.caregiver.org/resource/residential-care-options-right-time/" TargetMode="External"/><Relationship Id="rId18" Type="http://schemas.openxmlformats.org/officeDocument/2006/relationships/hyperlink" Target="https://caregiver.or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isconsincaregiver.org/" TargetMode="External"/><Relationship Id="rId17" Type="http://schemas.openxmlformats.org/officeDocument/2006/relationships/hyperlink" Target="https://www.caregiver.org/resource/residential-care-options-visiting-someone-dementia-care/" TargetMode="External"/><Relationship Id="rId2" Type="http://schemas.openxmlformats.org/officeDocument/2006/relationships/styles" Target="styles.xml"/><Relationship Id="rId16" Type="http://schemas.openxmlformats.org/officeDocument/2006/relationships/hyperlink" Target="https://www.caregiver.org/resource/residential-care-options-caregiving-doesnt-end-when-your-loved-one-mo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tcfeds.com/ltcWeb/do/assessing_your_needs/costofcare?action=costofcare&amp;ctoken=1rVmGxSw" TargetMode="External"/><Relationship Id="rId5" Type="http://schemas.openxmlformats.org/officeDocument/2006/relationships/footnotes" Target="footnotes.xml"/><Relationship Id="rId15" Type="http://schemas.openxmlformats.org/officeDocument/2006/relationships/hyperlink" Target="https://www.caregiver.org/resource/residential-care-options-choosing-right-place/" TargetMode="External"/><Relationship Id="rId23" Type="http://schemas.openxmlformats.org/officeDocument/2006/relationships/theme" Target="theme/theme1.xml"/><Relationship Id="rId10" Type="http://schemas.openxmlformats.org/officeDocument/2006/relationships/hyperlink" Target="http://canhr.org/NH_Data/index.html" TargetMode="External"/><Relationship Id="rId19" Type="http://schemas.openxmlformats.org/officeDocument/2006/relationships/hyperlink" Target="http://wisconsincaregiver.org/" TargetMode="External"/><Relationship Id="rId4" Type="http://schemas.openxmlformats.org/officeDocument/2006/relationships/webSettings" Target="webSettings.xml"/><Relationship Id="rId9" Type="http://schemas.openxmlformats.org/officeDocument/2006/relationships/hyperlink" Target="https://longtermcare.acl.gov/costs-how-to-pay/index.html" TargetMode="External"/><Relationship Id="rId14" Type="http://schemas.openxmlformats.org/officeDocument/2006/relationships/hyperlink" Target="https://www.caregiver.org/resource/residential-care-options-housing-opt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2235</Words>
  <Characters>12745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 Lynn K.</dc:creator>
  <cp:lastModifiedBy>Gall, Lynn K.</cp:lastModifiedBy>
  <cp:revision>2</cp:revision>
  <dcterms:created xsi:type="dcterms:W3CDTF">2021-08-16T13:12:00Z</dcterms:created>
  <dcterms:modified xsi:type="dcterms:W3CDTF">2021-08-16T13:12:00Z</dcterms:modified>
</cp:coreProperties>
</file>