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193" w14:textId="77777777" w:rsidR="00DC78BF" w:rsidRPr="00330E46" w:rsidRDefault="00DC78BF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34C42E2C" w14:textId="1217AD6E" w:rsidR="00DC78BF" w:rsidRDefault="007F30A4" w:rsidP="008F0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2021</w:t>
      </w:r>
    </w:p>
    <w:p w14:paraId="652C298B" w14:textId="77777777" w:rsidR="00177B9A" w:rsidRPr="00483FE6" w:rsidRDefault="00177B9A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42B859" w14:textId="3165230A" w:rsidR="00F05DA4" w:rsidRPr="00E763A6" w:rsidRDefault="00B22B40" w:rsidP="00A8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Targeting Hard</w:t>
      </w:r>
      <w:r w:rsidR="001720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="001720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Reach </w:t>
      </w:r>
      <w:r w:rsidR="008C466B">
        <w:rPr>
          <w:rFonts w:ascii="Times New Roman" w:hAnsi="Times New Roman" w:cs="Times New Roman"/>
          <w:b/>
          <w:sz w:val="28"/>
          <w:szCs w:val="28"/>
        </w:rPr>
        <w:t>Medicare Beneficiaries</w:t>
      </w:r>
    </w:p>
    <w:p w14:paraId="1CA71C08" w14:textId="77777777" w:rsidR="00F417E6" w:rsidRDefault="00F417E6" w:rsidP="00DC78BF">
      <w:pPr>
        <w:pStyle w:val="Default"/>
        <w:rPr>
          <w:rFonts w:ascii="Times New Roman" w:hAnsi="Times New Roman" w:cs="Times New Roman"/>
          <w:b/>
        </w:rPr>
      </w:pPr>
    </w:p>
    <w:p w14:paraId="52EF4166" w14:textId="54DE99D2" w:rsidR="00923943" w:rsidRDefault="0069632F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your efforts to share </w:t>
      </w:r>
      <w:r w:rsidR="00981272">
        <w:rPr>
          <w:rFonts w:ascii="Times New Roman" w:hAnsi="Times New Roman" w:cs="Times New Roman"/>
        </w:rPr>
        <w:t xml:space="preserve">important Medicare information with </w:t>
      </w:r>
      <w:r w:rsidR="00F55291">
        <w:rPr>
          <w:rFonts w:ascii="Times New Roman" w:hAnsi="Times New Roman" w:cs="Times New Roman"/>
        </w:rPr>
        <w:t>Wisconsin beneficiaries</w:t>
      </w:r>
      <w:r w:rsidR="00981272">
        <w:rPr>
          <w:rFonts w:ascii="Times New Roman" w:hAnsi="Times New Roman" w:cs="Times New Roman"/>
        </w:rPr>
        <w:t xml:space="preserve">, </w:t>
      </w:r>
      <w:r w:rsidR="00312F0C">
        <w:rPr>
          <w:rFonts w:ascii="Times New Roman" w:hAnsi="Times New Roman" w:cs="Times New Roman"/>
        </w:rPr>
        <w:t xml:space="preserve">extra steps are often needed </w:t>
      </w:r>
      <w:r w:rsidR="00981272">
        <w:rPr>
          <w:rFonts w:ascii="Times New Roman" w:hAnsi="Times New Roman" w:cs="Times New Roman"/>
        </w:rPr>
        <w:t xml:space="preserve">to connect with those </w:t>
      </w:r>
      <w:r w:rsidR="00F55291">
        <w:rPr>
          <w:rFonts w:ascii="Times New Roman" w:hAnsi="Times New Roman" w:cs="Times New Roman"/>
        </w:rPr>
        <w:t>individuals</w:t>
      </w:r>
      <w:r w:rsidR="00981272">
        <w:rPr>
          <w:rFonts w:ascii="Times New Roman" w:hAnsi="Times New Roman" w:cs="Times New Roman"/>
        </w:rPr>
        <w:t xml:space="preserve"> who </w:t>
      </w:r>
      <w:r w:rsidR="00312F0C">
        <w:rPr>
          <w:rFonts w:ascii="Times New Roman" w:hAnsi="Times New Roman" w:cs="Times New Roman"/>
        </w:rPr>
        <w:t>are</w:t>
      </w:r>
      <w:r w:rsidR="006B4CF0">
        <w:rPr>
          <w:rFonts w:ascii="Times New Roman" w:hAnsi="Times New Roman" w:cs="Times New Roman"/>
        </w:rPr>
        <w:t xml:space="preserve"> more difficult</w:t>
      </w:r>
      <w:r w:rsidR="00981272">
        <w:rPr>
          <w:rFonts w:ascii="Times New Roman" w:hAnsi="Times New Roman" w:cs="Times New Roman"/>
        </w:rPr>
        <w:t xml:space="preserve"> to reach.</w:t>
      </w:r>
      <w:r>
        <w:rPr>
          <w:rFonts w:ascii="Times New Roman" w:hAnsi="Times New Roman" w:cs="Times New Roman"/>
        </w:rPr>
        <w:t xml:space="preserve"> </w:t>
      </w:r>
      <w:r w:rsidR="00923943">
        <w:rPr>
          <w:rFonts w:ascii="Times New Roman" w:hAnsi="Times New Roman" w:cs="Times New Roman"/>
        </w:rPr>
        <w:t>Use th</w:t>
      </w:r>
      <w:r w:rsidR="00B2120B">
        <w:rPr>
          <w:rFonts w:ascii="Times New Roman" w:hAnsi="Times New Roman" w:cs="Times New Roman"/>
        </w:rPr>
        <w:t>is</w:t>
      </w:r>
      <w:r w:rsidR="00923943">
        <w:rPr>
          <w:rFonts w:ascii="Times New Roman" w:hAnsi="Times New Roman" w:cs="Times New Roman"/>
        </w:rPr>
        <w:t xml:space="preserve"> </w:t>
      </w:r>
      <w:hyperlink r:id="rId5" w:history="1">
        <w:r w:rsidR="00923943" w:rsidRPr="00B2120B">
          <w:rPr>
            <w:rStyle w:val="Hyperlink"/>
            <w:rFonts w:ascii="Times New Roman" w:hAnsi="Times New Roman" w:cs="Times New Roman"/>
          </w:rPr>
          <w:t>Hispanic/Latino Outreach TIP SHEET</w:t>
        </w:r>
      </w:hyperlink>
      <w:r w:rsidR="00923943">
        <w:rPr>
          <w:rFonts w:ascii="Times New Roman" w:hAnsi="Times New Roman" w:cs="Times New Roman"/>
        </w:rPr>
        <w:t xml:space="preserve"> </w:t>
      </w:r>
      <w:r w:rsidR="00B2120B">
        <w:rPr>
          <w:rFonts w:ascii="Times New Roman" w:hAnsi="Times New Roman" w:cs="Times New Roman"/>
        </w:rPr>
        <w:t xml:space="preserve">in your efforts to reach these beneficiaries in your community. </w:t>
      </w:r>
    </w:p>
    <w:p w14:paraId="6150459A" w14:textId="3E08034B" w:rsidR="00923943" w:rsidRDefault="00923943" w:rsidP="00DC78BF">
      <w:pPr>
        <w:pStyle w:val="Default"/>
        <w:rPr>
          <w:rFonts w:ascii="Times New Roman" w:hAnsi="Times New Roman" w:cs="Times New Roman"/>
        </w:rPr>
      </w:pPr>
    </w:p>
    <w:p w14:paraId="67B139A9" w14:textId="351D2EBA" w:rsidR="00B2120B" w:rsidRDefault="00312F0C" w:rsidP="00B2120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may also be</w:t>
      </w:r>
      <w:r w:rsidR="00B2120B">
        <w:rPr>
          <w:rFonts w:ascii="Times New Roman" w:hAnsi="Times New Roman" w:cs="Times New Roman"/>
        </w:rPr>
        <w:t xml:space="preserve"> groups or individuals who are non-native </w:t>
      </w:r>
      <w:proofErr w:type="gramStart"/>
      <w:r w:rsidR="00B2120B">
        <w:rPr>
          <w:rFonts w:ascii="Times New Roman" w:hAnsi="Times New Roman" w:cs="Times New Roman"/>
        </w:rPr>
        <w:t>English speaking</w:t>
      </w:r>
      <w:proofErr w:type="gramEnd"/>
      <w:r>
        <w:rPr>
          <w:rFonts w:ascii="Times New Roman" w:hAnsi="Times New Roman" w:cs="Times New Roman"/>
        </w:rPr>
        <w:t xml:space="preserve"> living in your community</w:t>
      </w:r>
      <w:r w:rsidR="00B2120B">
        <w:rPr>
          <w:rFonts w:ascii="Times New Roman" w:hAnsi="Times New Roman" w:cs="Times New Roman"/>
        </w:rPr>
        <w:t>. A beneficiary is considered non-native English speaking if English is NOT their first language, or if they are not fluent in understanding, speaking, reading and/or writing the English language. Check out the following resources for tips and materials that can help you reach them:</w:t>
      </w:r>
    </w:p>
    <w:p w14:paraId="14FDE815" w14:textId="77777777" w:rsidR="00B2120B" w:rsidRDefault="00B2120B" w:rsidP="00B2120B">
      <w:pPr>
        <w:pStyle w:val="Default"/>
        <w:rPr>
          <w:rFonts w:ascii="Times New Roman" w:hAnsi="Times New Roman" w:cs="Times New Roman"/>
        </w:rPr>
      </w:pPr>
    </w:p>
    <w:p w14:paraId="56ED3DE3" w14:textId="77777777" w:rsidR="00B2120B" w:rsidRPr="00B93B63" w:rsidRDefault="00B2120B" w:rsidP="00B2120B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B63">
        <w:rPr>
          <w:rFonts w:ascii="Times New Roman" w:hAnsi="Times New Roman" w:cs="Times New Roman"/>
          <w:sz w:val="24"/>
          <w:szCs w:val="24"/>
        </w:rPr>
        <w:t>Additional outreach materials</w:t>
      </w:r>
      <w:r>
        <w:rPr>
          <w:rFonts w:ascii="Times New Roman" w:hAnsi="Times New Roman" w:cs="Times New Roman"/>
          <w:sz w:val="24"/>
          <w:szCs w:val="24"/>
        </w:rPr>
        <w:t>, including videos,</w:t>
      </w:r>
      <w:r w:rsidRPr="00B93B63">
        <w:rPr>
          <w:rFonts w:ascii="Times New Roman" w:hAnsi="Times New Roman" w:cs="Times New Roman"/>
          <w:sz w:val="24"/>
          <w:szCs w:val="24"/>
        </w:rPr>
        <w:t xml:space="preserve"> for Spanish language or other audiences can be found on the CMS.gov website at the link below:</w:t>
      </w:r>
    </w:p>
    <w:p w14:paraId="0D7F1FCA" w14:textId="10A91FE9" w:rsidR="00B2120B" w:rsidRPr="00B2120B" w:rsidRDefault="008677EA" w:rsidP="00B2120B">
      <w:pPr>
        <w:ind w:left="1440"/>
      </w:pPr>
      <w:hyperlink r:id="rId6" w:history="1">
        <w:r w:rsidR="00B2120B" w:rsidRPr="008B51DC">
          <w:rPr>
            <w:rStyle w:val="Hyperlink"/>
          </w:rPr>
          <w:t>https://www.cms.gov/Outreach-and-Education/Reach-Out/Find-tools-to-help-you-help-others/Open-Enrollment-materials-for-Spanish-speakers.html</w:t>
        </w:r>
      </w:hyperlink>
    </w:p>
    <w:p w14:paraId="6BBD1F61" w14:textId="7E6F438B" w:rsidR="00B2120B" w:rsidRPr="00B93B63" w:rsidRDefault="00B2120B" w:rsidP="00B2120B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2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Medicare publications available in alternative languages: </w:t>
      </w:r>
      <w:hyperlink r:id="rId7" w:history="1">
        <w:r w:rsidRPr="008B51DC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https://www.medicare.gov/about-us/information-in-other-languages</w:t>
        </w:r>
      </w:hyperlink>
    </w:p>
    <w:p w14:paraId="0600A6AA" w14:textId="65CB3BF6" w:rsidR="00B2120B" w:rsidRPr="00B2120B" w:rsidRDefault="00B2120B" w:rsidP="00B2120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</w:t>
      </w:r>
    </w:p>
    <w:p w14:paraId="6095F6A9" w14:textId="52375E44" w:rsidR="00B2120B" w:rsidRPr="00B2120B" w:rsidRDefault="00B2120B" w:rsidP="00B2120B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52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Social Security publications available in alternative langua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ges:  </w:t>
      </w:r>
      <w:hyperlink r:id="rId8" w:history="1">
        <w:r w:rsidRPr="00B93B63">
          <w:rPr>
            <w:color w:val="0000FF"/>
            <w:u w:val="single"/>
          </w:rPr>
          <w:t>https://www.ssa.gov/site/languages/en/</w:t>
        </w:r>
      </w:hyperlink>
    </w:p>
    <w:p w14:paraId="312834E4" w14:textId="77777777" w:rsidR="00B2120B" w:rsidRPr="00B2120B" w:rsidRDefault="00B2120B" w:rsidP="00B212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F07599" w14:textId="72710FBF" w:rsidR="00B2120B" w:rsidRDefault="008677EA" w:rsidP="00B2120B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2120B" w:rsidRPr="00B212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SHIP TA Center</w:t>
        </w:r>
      </w:hyperlink>
      <w:r w:rsidR="00B2120B">
        <w:rPr>
          <w:rFonts w:ascii="Times New Roman" w:eastAsia="Times New Roman" w:hAnsi="Times New Roman" w:cs="Times New Roman"/>
          <w:sz w:val="24"/>
          <w:szCs w:val="24"/>
        </w:rPr>
        <w:t>:  Search “Spanish” or other languages in the SHIP TA Center website to find resources available in those languages.</w:t>
      </w:r>
    </w:p>
    <w:p w14:paraId="2772621C" w14:textId="77777777" w:rsidR="00867819" w:rsidRDefault="00867819" w:rsidP="0086781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424A455" w14:textId="247F7551" w:rsidR="00B2120B" w:rsidRPr="00867819" w:rsidRDefault="00867819" w:rsidP="00867819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10" w:history="1">
        <w:r w:rsidRPr="00867819">
          <w:rPr>
            <w:rStyle w:val="Hyperlink"/>
            <w:sz w:val="24"/>
            <w:szCs w:val="24"/>
          </w:rPr>
          <w:t>NCOA’s data</w:t>
        </w:r>
        <w:r w:rsidRPr="00867819">
          <w:rPr>
            <w:rStyle w:val="Hyperlink"/>
            <w:sz w:val="24"/>
            <w:szCs w:val="24"/>
          </w:rPr>
          <w:t xml:space="preserve"> </w:t>
        </w:r>
        <w:r w:rsidRPr="00867819">
          <w:rPr>
            <w:rStyle w:val="Hyperlink"/>
            <w:sz w:val="24"/>
            <w:szCs w:val="24"/>
          </w:rPr>
          <w:t>visualization</w:t>
        </w:r>
      </w:hyperlink>
      <w:r w:rsidRPr="00867819">
        <w:rPr>
          <w:color w:val="1F4E7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 xml:space="preserve">:  </w:t>
      </w:r>
      <w:r w:rsidRPr="00867819">
        <w:rPr>
          <w:sz w:val="24"/>
          <w:szCs w:val="24"/>
        </w:rPr>
        <w:t xml:space="preserve">Use this tool </w:t>
      </w:r>
      <w:r>
        <w:rPr>
          <w:sz w:val="24"/>
          <w:szCs w:val="24"/>
        </w:rPr>
        <w:t xml:space="preserve">for a breakdown of </w:t>
      </w:r>
      <w:r w:rsidRPr="00867819">
        <w:rPr>
          <w:sz w:val="24"/>
          <w:szCs w:val="24"/>
        </w:rPr>
        <w:t>E</w:t>
      </w:r>
      <w:r w:rsidRPr="00867819">
        <w:rPr>
          <w:sz w:val="24"/>
          <w:szCs w:val="24"/>
        </w:rPr>
        <w:t xml:space="preserve">nglish </w:t>
      </w:r>
      <w:r w:rsidRPr="00867819">
        <w:rPr>
          <w:sz w:val="24"/>
          <w:szCs w:val="24"/>
        </w:rPr>
        <w:t>S</w:t>
      </w:r>
      <w:r w:rsidRPr="00867819">
        <w:rPr>
          <w:sz w:val="24"/>
          <w:szCs w:val="24"/>
        </w:rPr>
        <w:t xml:space="preserve">econd </w:t>
      </w:r>
      <w:r w:rsidRPr="00867819">
        <w:rPr>
          <w:sz w:val="24"/>
          <w:szCs w:val="24"/>
        </w:rPr>
        <w:t>L</w:t>
      </w:r>
      <w:r w:rsidRPr="00867819">
        <w:rPr>
          <w:sz w:val="24"/>
          <w:szCs w:val="24"/>
        </w:rPr>
        <w:t>anguage</w:t>
      </w:r>
      <w:r w:rsidRPr="00867819">
        <w:rPr>
          <w:sz w:val="24"/>
          <w:szCs w:val="24"/>
        </w:rPr>
        <w:t xml:space="preserve"> low-income Medicare beneficiaries</w:t>
      </w:r>
      <w:r w:rsidRPr="00867819">
        <w:rPr>
          <w:sz w:val="24"/>
          <w:szCs w:val="24"/>
        </w:rPr>
        <w:t xml:space="preserve"> by state and</w:t>
      </w:r>
      <w:r w:rsidRPr="00867819">
        <w:rPr>
          <w:sz w:val="24"/>
          <w:szCs w:val="24"/>
        </w:rPr>
        <w:t xml:space="preserve"> by county.</w:t>
      </w:r>
    </w:p>
    <w:p w14:paraId="4571E885" w14:textId="29B7CEE0" w:rsidR="005F35AF" w:rsidRDefault="00B2120B" w:rsidP="00B22B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group of hard-to-reach beneficiaries </w:t>
      </w:r>
      <w:r w:rsidR="00312F0C">
        <w:rPr>
          <w:rFonts w:ascii="Times New Roman" w:hAnsi="Times New Roman" w:cs="Times New Roman"/>
        </w:rPr>
        <w:t>includes</w:t>
      </w:r>
      <w:r>
        <w:rPr>
          <w:rFonts w:ascii="Times New Roman" w:hAnsi="Times New Roman" w:cs="Times New Roman"/>
        </w:rPr>
        <w:t xml:space="preserve"> those living in rural parts of the state. </w:t>
      </w:r>
      <w:r w:rsidR="005F35AF">
        <w:rPr>
          <w:rFonts w:ascii="Times New Roman" w:hAnsi="Times New Roman" w:cs="Times New Roman"/>
        </w:rPr>
        <w:t>Many parts of Wisconsin are considered rural</w:t>
      </w:r>
      <w:r w:rsidR="00312F0C">
        <w:rPr>
          <w:rFonts w:ascii="Times New Roman" w:hAnsi="Times New Roman" w:cs="Times New Roman"/>
        </w:rPr>
        <w:t xml:space="preserve"> and c</w:t>
      </w:r>
      <w:r w:rsidR="005F35AF">
        <w:rPr>
          <w:rFonts w:ascii="Times New Roman" w:hAnsi="Times New Roman" w:cs="Times New Roman"/>
        </w:rPr>
        <w:t xml:space="preserve">onducting outreach in these areas means dealing with </w:t>
      </w:r>
      <w:r w:rsidR="00455F38">
        <w:rPr>
          <w:rFonts w:ascii="Times New Roman" w:hAnsi="Times New Roman" w:cs="Times New Roman"/>
        </w:rPr>
        <w:t xml:space="preserve">the </w:t>
      </w:r>
      <w:r w:rsidR="005F35AF">
        <w:rPr>
          <w:rFonts w:ascii="Times New Roman" w:hAnsi="Times New Roman" w:cs="Times New Roman"/>
        </w:rPr>
        <w:t xml:space="preserve">challenges </w:t>
      </w:r>
      <w:r w:rsidR="00455F38">
        <w:rPr>
          <w:rFonts w:ascii="Times New Roman" w:hAnsi="Times New Roman" w:cs="Times New Roman"/>
        </w:rPr>
        <w:t>of</w:t>
      </w:r>
      <w:r w:rsidR="005F35AF">
        <w:rPr>
          <w:rFonts w:ascii="Times New Roman" w:hAnsi="Times New Roman" w:cs="Times New Roman"/>
        </w:rPr>
        <w:t xml:space="preserve"> limited transportation, large land area to cover and an increased number of isolated individuals. Find tips and strategies to help you meet those challenges by viewing </w:t>
      </w:r>
      <w:r w:rsidR="00312F0C">
        <w:rPr>
          <w:rFonts w:ascii="Times New Roman" w:hAnsi="Times New Roman" w:cs="Times New Roman"/>
        </w:rPr>
        <w:t>a past</w:t>
      </w:r>
      <w:r w:rsidR="005F35AF">
        <w:rPr>
          <w:rFonts w:ascii="Times New Roman" w:hAnsi="Times New Roman" w:cs="Times New Roman"/>
        </w:rPr>
        <w:t xml:space="preserve"> Medicare outreach training</w:t>
      </w:r>
      <w:r w:rsidR="00312F0C">
        <w:rPr>
          <w:rFonts w:ascii="Times New Roman" w:hAnsi="Times New Roman" w:cs="Times New Roman"/>
        </w:rPr>
        <w:t xml:space="preserve"> on the topic</w:t>
      </w:r>
      <w:r w:rsidR="005F35AF">
        <w:rPr>
          <w:rFonts w:ascii="Times New Roman" w:hAnsi="Times New Roman" w:cs="Times New Roman"/>
        </w:rPr>
        <w:t xml:space="preserve">: </w:t>
      </w:r>
      <w:hyperlink r:id="rId11" w:history="1">
        <w:r w:rsidR="005F35AF" w:rsidRPr="005F35AF">
          <w:rPr>
            <w:rStyle w:val="Hyperlink"/>
            <w:rFonts w:ascii="Times New Roman" w:hAnsi="Times New Roman" w:cs="Times New Roman"/>
          </w:rPr>
          <w:t>Medicare Outreach in Rural Wisconsin</w:t>
        </w:r>
      </w:hyperlink>
      <w:r w:rsidR="005F35AF">
        <w:rPr>
          <w:rFonts w:ascii="Times New Roman" w:hAnsi="Times New Roman" w:cs="Times New Roman"/>
        </w:rPr>
        <w:t xml:space="preserve">. </w:t>
      </w:r>
    </w:p>
    <w:p w14:paraId="1354F555" w14:textId="77777777" w:rsidR="008174A1" w:rsidRPr="00F55291" w:rsidRDefault="008174A1" w:rsidP="00B22B40">
      <w:pPr>
        <w:pStyle w:val="Default"/>
        <w:rPr>
          <w:rFonts w:ascii="Times New Roman" w:hAnsi="Times New Roman" w:cs="Times New Roman"/>
        </w:rPr>
      </w:pPr>
    </w:p>
    <w:p w14:paraId="3D5468F7" w14:textId="77777777" w:rsidR="00F55291" w:rsidRDefault="001051A3" w:rsidP="00B22B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find additional</w:t>
      </w:r>
      <w:r w:rsidR="008174A1">
        <w:rPr>
          <w:rFonts w:ascii="Times New Roman" w:hAnsi="Times New Roman" w:cs="Times New Roman"/>
        </w:rPr>
        <w:t xml:space="preserve"> materials available </w:t>
      </w:r>
      <w:r>
        <w:rPr>
          <w:rFonts w:ascii="Times New Roman" w:hAnsi="Times New Roman" w:cs="Times New Roman"/>
        </w:rPr>
        <w:t>to help you</w:t>
      </w:r>
      <w:r w:rsidR="008174A1">
        <w:rPr>
          <w:rFonts w:ascii="Times New Roman" w:hAnsi="Times New Roman" w:cs="Times New Roman"/>
        </w:rPr>
        <w:t xml:space="preserve"> reach </w:t>
      </w:r>
      <w:r w:rsidR="008174A1" w:rsidRPr="008174A1">
        <w:rPr>
          <w:rFonts w:ascii="Times New Roman" w:hAnsi="Times New Roman" w:cs="Times New Roman"/>
          <w:i/>
        </w:rPr>
        <w:t>Hard to Reach Communities</w:t>
      </w:r>
      <w:r w:rsidR="008174A1">
        <w:rPr>
          <w:rFonts w:ascii="Times New Roman" w:hAnsi="Times New Roman" w:cs="Times New Roman"/>
        </w:rPr>
        <w:t xml:space="preserve"> in the Resources section of the GWAAR Medicare Outreach and Assistance Resources webpage.</w:t>
      </w:r>
    </w:p>
    <w:p w14:paraId="6A4B9036" w14:textId="77777777" w:rsidR="008174A1" w:rsidRDefault="008174A1" w:rsidP="00B22B40">
      <w:pPr>
        <w:pStyle w:val="Default"/>
        <w:rPr>
          <w:rFonts w:ascii="Times New Roman" w:hAnsi="Times New Roman" w:cs="Times New Roman"/>
        </w:rPr>
      </w:pPr>
    </w:p>
    <w:p w14:paraId="6FE86891" w14:textId="77777777" w:rsidR="003B3CB3" w:rsidRPr="008038B3" w:rsidRDefault="003B3CB3" w:rsidP="003B3CB3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14:paraId="420073AB" w14:textId="77777777" w:rsidR="003B3CB3" w:rsidRDefault="008677EA" w:rsidP="003B3CB3">
      <w:pPr>
        <w:rPr>
          <w:rStyle w:val="Hyperlink"/>
          <w:sz w:val="23"/>
          <w:szCs w:val="23"/>
        </w:rPr>
      </w:pPr>
      <w:hyperlink r:id="rId12" w:history="1">
        <w:r w:rsidR="003B3CB3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26623DAA" w14:textId="48C47593" w:rsidR="003B3CB3" w:rsidRDefault="003B3CB3" w:rsidP="003B3CB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Hlk526776528"/>
      <w:r w:rsidRPr="008038B3">
        <w:rPr>
          <w:rFonts w:ascii="Times New Roman" w:hAnsi="Times New Roman" w:cs="Times New Roman"/>
          <w:sz w:val="24"/>
          <w:szCs w:val="24"/>
        </w:rPr>
        <w:t>By the GWAAR Medicare Outreach Team</w:t>
      </w:r>
    </w:p>
    <w:bookmarkEnd w:id="0"/>
    <w:sectPr w:rsidR="003B3CB3" w:rsidSect="0086781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7ED"/>
    <w:multiLevelType w:val="hybridMultilevel"/>
    <w:tmpl w:val="D0A6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9C9"/>
    <w:multiLevelType w:val="hybridMultilevel"/>
    <w:tmpl w:val="976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A6428"/>
    <w:multiLevelType w:val="hybridMultilevel"/>
    <w:tmpl w:val="F65227DC"/>
    <w:lvl w:ilvl="0" w:tplc="60422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8E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0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46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1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E2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6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0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6476C8"/>
    <w:multiLevelType w:val="hybridMultilevel"/>
    <w:tmpl w:val="4A5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4F1E"/>
    <w:multiLevelType w:val="hybridMultilevel"/>
    <w:tmpl w:val="0B726DEE"/>
    <w:lvl w:ilvl="0" w:tplc="AF46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411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8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E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EB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2E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1BE2"/>
    <w:rsid w:val="00012389"/>
    <w:rsid w:val="00017B16"/>
    <w:rsid w:val="00025522"/>
    <w:rsid w:val="00066274"/>
    <w:rsid w:val="00075213"/>
    <w:rsid w:val="00080974"/>
    <w:rsid w:val="000A1EFF"/>
    <w:rsid w:val="000F1803"/>
    <w:rsid w:val="001051A3"/>
    <w:rsid w:val="001248D1"/>
    <w:rsid w:val="00126DF3"/>
    <w:rsid w:val="00151FC6"/>
    <w:rsid w:val="0015211A"/>
    <w:rsid w:val="0017208F"/>
    <w:rsid w:val="00177B9A"/>
    <w:rsid w:val="00180137"/>
    <w:rsid w:val="00190AC6"/>
    <w:rsid w:val="0019658A"/>
    <w:rsid w:val="001B3348"/>
    <w:rsid w:val="001B52DD"/>
    <w:rsid w:val="001B5547"/>
    <w:rsid w:val="001B5720"/>
    <w:rsid w:val="001C3D6F"/>
    <w:rsid w:val="001C6833"/>
    <w:rsid w:val="001E706B"/>
    <w:rsid w:val="001E7839"/>
    <w:rsid w:val="00200974"/>
    <w:rsid w:val="00207A16"/>
    <w:rsid w:val="002143B7"/>
    <w:rsid w:val="00214B91"/>
    <w:rsid w:val="0021710C"/>
    <w:rsid w:val="002416B5"/>
    <w:rsid w:val="00241B6D"/>
    <w:rsid w:val="0026666D"/>
    <w:rsid w:val="00273871"/>
    <w:rsid w:val="002A3B40"/>
    <w:rsid w:val="00312F0C"/>
    <w:rsid w:val="0032460A"/>
    <w:rsid w:val="00330CCD"/>
    <w:rsid w:val="0034357A"/>
    <w:rsid w:val="00375D41"/>
    <w:rsid w:val="0038193C"/>
    <w:rsid w:val="0038667E"/>
    <w:rsid w:val="00390435"/>
    <w:rsid w:val="003A3A46"/>
    <w:rsid w:val="003A5F43"/>
    <w:rsid w:val="003A60FF"/>
    <w:rsid w:val="003B3CB3"/>
    <w:rsid w:val="003B7A9B"/>
    <w:rsid w:val="003C6BA5"/>
    <w:rsid w:val="003D6BEB"/>
    <w:rsid w:val="003F0599"/>
    <w:rsid w:val="00416EB4"/>
    <w:rsid w:val="0041717C"/>
    <w:rsid w:val="0043305B"/>
    <w:rsid w:val="0045552B"/>
    <w:rsid w:val="00455F38"/>
    <w:rsid w:val="004871F4"/>
    <w:rsid w:val="004B298E"/>
    <w:rsid w:val="00512287"/>
    <w:rsid w:val="00526828"/>
    <w:rsid w:val="00527B26"/>
    <w:rsid w:val="00550378"/>
    <w:rsid w:val="005B3ABB"/>
    <w:rsid w:val="005C1AF6"/>
    <w:rsid w:val="005C26B1"/>
    <w:rsid w:val="005C657C"/>
    <w:rsid w:val="005F35AF"/>
    <w:rsid w:val="006157B2"/>
    <w:rsid w:val="00623947"/>
    <w:rsid w:val="00634CEB"/>
    <w:rsid w:val="006478EB"/>
    <w:rsid w:val="00670F2D"/>
    <w:rsid w:val="00692D91"/>
    <w:rsid w:val="00695315"/>
    <w:rsid w:val="0069632F"/>
    <w:rsid w:val="006B21B7"/>
    <w:rsid w:val="006B4CF0"/>
    <w:rsid w:val="006E2366"/>
    <w:rsid w:val="006F6738"/>
    <w:rsid w:val="00705927"/>
    <w:rsid w:val="0072715D"/>
    <w:rsid w:val="007529EE"/>
    <w:rsid w:val="0075579F"/>
    <w:rsid w:val="007A2284"/>
    <w:rsid w:val="007B0A70"/>
    <w:rsid w:val="007C4E5D"/>
    <w:rsid w:val="007D4E4D"/>
    <w:rsid w:val="007F09EA"/>
    <w:rsid w:val="007F17F5"/>
    <w:rsid w:val="007F30A4"/>
    <w:rsid w:val="00811D2E"/>
    <w:rsid w:val="008174A1"/>
    <w:rsid w:val="008236BE"/>
    <w:rsid w:val="00823DE1"/>
    <w:rsid w:val="00833918"/>
    <w:rsid w:val="0083635E"/>
    <w:rsid w:val="008453BE"/>
    <w:rsid w:val="00855BD2"/>
    <w:rsid w:val="00867819"/>
    <w:rsid w:val="008829AB"/>
    <w:rsid w:val="008904E3"/>
    <w:rsid w:val="008A73C0"/>
    <w:rsid w:val="008C466B"/>
    <w:rsid w:val="008F0C2A"/>
    <w:rsid w:val="00907DA0"/>
    <w:rsid w:val="00923943"/>
    <w:rsid w:val="009363FD"/>
    <w:rsid w:val="009428C5"/>
    <w:rsid w:val="00970927"/>
    <w:rsid w:val="00981272"/>
    <w:rsid w:val="00983D40"/>
    <w:rsid w:val="009B3286"/>
    <w:rsid w:val="009D29A5"/>
    <w:rsid w:val="009D2BE9"/>
    <w:rsid w:val="009F09FF"/>
    <w:rsid w:val="00A3788D"/>
    <w:rsid w:val="00A67B03"/>
    <w:rsid w:val="00A836F3"/>
    <w:rsid w:val="00AF133F"/>
    <w:rsid w:val="00AF6708"/>
    <w:rsid w:val="00B2120B"/>
    <w:rsid w:val="00B22B40"/>
    <w:rsid w:val="00B30EEA"/>
    <w:rsid w:val="00B3137D"/>
    <w:rsid w:val="00B376DF"/>
    <w:rsid w:val="00B46015"/>
    <w:rsid w:val="00B52C24"/>
    <w:rsid w:val="00B54AB5"/>
    <w:rsid w:val="00B60D3A"/>
    <w:rsid w:val="00B707D2"/>
    <w:rsid w:val="00B73B24"/>
    <w:rsid w:val="00B93B63"/>
    <w:rsid w:val="00BB1819"/>
    <w:rsid w:val="00BB4F60"/>
    <w:rsid w:val="00BB7305"/>
    <w:rsid w:val="00BD2519"/>
    <w:rsid w:val="00BF547A"/>
    <w:rsid w:val="00BF599E"/>
    <w:rsid w:val="00C70F25"/>
    <w:rsid w:val="00C719E2"/>
    <w:rsid w:val="00C76647"/>
    <w:rsid w:val="00C77651"/>
    <w:rsid w:val="00C83997"/>
    <w:rsid w:val="00CA296C"/>
    <w:rsid w:val="00CA79B5"/>
    <w:rsid w:val="00CC4D83"/>
    <w:rsid w:val="00CE2620"/>
    <w:rsid w:val="00CE4082"/>
    <w:rsid w:val="00D4705E"/>
    <w:rsid w:val="00D76150"/>
    <w:rsid w:val="00DA0244"/>
    <w:rsid w:val="00DA3DF4"/>
    <w:rsid w:val="00DA597C"/>
    <w:rsid w:val="00DB4254"/>
    <w:rsid w:val="00DC71D5"/>
    <w:rsid w:val="00DC78BF"/>
    <w:rsid w:val="00DD5455"/>
    <w:rsid w:val="00DE103E"/>
    <w:rsid w:val="00E05A2A"/>
    <w:rsid w:val="00E252E5"/>
    <w:rsid w:val="00E27D57"/>
    <w:rsid w:val="00E51962"/>
    <w:rsid w:val="00E665EE"/>
    <w:rsid w:val="00E763A6"/>
    <w:rsid w:val="00E97E76"/>
    <w:rsid w:val="00EA511F"/>
    <w:rsid w:val="00ED518D"/>
    <w:rsid w:val="00EF5537"/>
    <w:rsid w:val="00F05DA4"/>
    <w:rsid w:val="00F153DE"/>
    <w:rsid w:val="00F21A99"/>
    <w:rsid w:val="00F33FF2"/>
    <w:rsid w:val="00F417E6"/>
    <w:rsid w:val="00F55291"/>
    <w:rsid w:val="00F7131C"/>
    <w:rsid w:val="00F74459"/>
    <w:rsid w:val="00F8507D"/>
    <w:rsid w:val="00F940DD"/>
    <w:rsid w:val="00F96EAE"/>
    <w:rsid w:val="00FC64E4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F8D5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9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1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3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9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site/languages/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about-us/information-in-other-languages" TargetMode="External"/><Relationship Id="rId12" Type="http://schemas.openxmlformats.org/officeDocument/2006/relationships/hyperlink" Target="https://gwaar.org/medicare-outreach-and-assistance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Outreach-and-Education/Reach-Out/Find-tools-to-help-you-help-others/Open-Enrollment-materials-for-Spanish-speakers.html" TargetMode="External"/><Relationship Id="rId11" Type="http://schemas.openxmlformats.org/officeDocument/2006/relationships/hyperlink" Target="https://gwaar.org/medicare-outreach-in-rural-wi_1" TargetMode="External"/><Relationship Id="rId5" Type="http://schemas.openxmlformats.org/officeDocument/2006/relationships/hyperlink" Target="https://gwaar.org/api/cms/viewFile/id/2006745" TargetMode="External"/><Relationship Id="rId10" Type="http://schemas.openxmlformats.org/officeDocument/2006/relationships/hyperlink" Target="https://nam02.safelinks.protection.outlook.com/?url=https%3A%2F%2Fpublic.tableau.com%2Fprofile%2Flauren.popham%23!%2Fvizhome%2Fshared%2FWSFBKSN9D&amp;data=04%7C01%7C%7C9e9a7a4ad01e47e4416908d9069a8250%7C8e087664409d4c4ca6b47aa01020d6ea%7C0%7C1%7C637548082967692408%7CUnknown%7CTWFpbGZsb3d8eyJWIjoiMC4wLjAwMDAiLCJQIjoiV2luMzIiLCJBTiI6Ik1haWwiLCJXVCI6Mn0%3D%7C1000&amp;sdata=KrLmbOlCd2wKudDPgROaamfGi3kwpN25sDOlfkVX83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iptacent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2021-04-09T16:34:00Z</cp:lastPrinted>
  <dcterms:created xsi:type="dcterms:W3CDTF">2021-04-23T21:10:00Z</dcterms:created>
  <dcterms:modified xsi:type="dcterms:W3CDTF">2021-04-23T21:10:00Z</dcterms:modified>
</cp:coreProperties>
</file>