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7269" w14:textId="7373D81B" w:rsidR="000F176A" w:rsidRDefault="00A5271E" w:rsidP="000F176A">
      <w:r>
        <w:rPr>
          <w:b/>
          <w:sz w:val="28"/>
          <w:szCs w:val="28"/>
        </w:rPr>
        <w:t xml:space="preserve">EXAMPLES: </w:t>
      </w:r>
      <w:r w:rsidR="002B4DAA">
        <w:rPr>
          <w:b/>
          <w:sz w:val="28"/>
          <w:szCs w:val="28"/>
        </w:rPr>
        <w:t xml:space="preserve">IDEAS FOR </w:t>
      </w:r>
      <w:r w:rsidR="000F176A">
        <w:rPr>
          <w:b/>
          <w:sz w:val="28"/>
          <w:szCs w:val="28"/>
        </w:rPr>
        <w:t xml:space="preserve">REQUIRED </w:t>
      </w:r>
      <w:r w:rsidR="00B532C6">
        <w:rPr>
          <w:b/>
          <w:sz w:val="28"/>
          <w:szCs w:val="28"/>
        </w:rPr>
        <w:t>FOCUS AREAS</w:t>
      </w:r>
      <w:r w:rsidR="000F176A" w:rsidRPr="000F176A">
        <w:rPr>
          <w:b/>
          <w:sz w:val="28"/>
          <w:szCs w:val="28"/>
        </w:rPr>
        <w:t xml:space="preserve"> </w:t>
      </w:r>
      <w:r w:rsidR="002B4DAA">
        <w:rPr>
          <w:b/>
          <w:sz w:val="28"/>
          <w:szCs w:val="28"/>
        </w:rPr>
        <w:t xml:space="preserve">- </w:t>
      </w:r>
      <w:r w:rsidR="000F176A">
        <w:rPr>
          <w:b/>
          <w:sz w:val="28"/>
          <w:szCs w:val="28"/>
        </w:rPr>
        <w:t>202</w:t>
      </w:r>
      <w:r w:rsidR="009E1658">
        <w:rPr>
          <w:b/>
          <w:sz w:val="28"/>
          <w:szCs w:val="28"/>
        </w:rPr>
        <w:t>2</w:t>
      </w:r>
      <w:r w:rsidR="000F176A">
        <w:rPr>
          <w:b/>
          <w:sz w:val="28"/>
          <w:szCs w:val="28"/>
        </w:rPr>
        <w:t>-202</w:t>
      </w:r>
      <w:r w:rsidR="009E1658">
        <w:rPr>
          <w:b/>
          <w:sz w:val="28"/>
          <w:szCs w:val="28"/>
        </w:rPr>
        <w:t>4</w:t>
      </w:r>
      <w:r w:rsidR="000F176A">
        <w:rPr>
          <w:b/>
          <w:sz w:val="28"/>
          <w:szCs w:val="28"/>
        </w:rPr>
        <w:t xml:space="preserve"> AGING PLAN</w:t>
      </w:r>
      <w:r w:rsidR="002B4DAA">
        <w:rPr>
          <w:b/>
          <w:sz w:val="28"/>
          <w:szCs w:val="28"/>
        </w:rPr>
        <w:t>S</w:t>
      </w:r>
    </w:p>
    <w:p w14:paraId="174AD2A8" w14:textId="77777777" w:rsidR="00704151" w:rsidRDefault="00704151" w:rsidP="00E92F95"/>
    <w:p w14:paraId="2C802676" w14:textId="77777777" w:rsidR="002B4DAA" w:rsidRPr="0098746D" w:rsidRDefault="002B4DAA" w:rsidP="002B4DAA">
      <w:pPr>
        <w:rPr>
          <w:b/>
        </w:rPr>
      </w:pPr>
      <w:r>
        <w:rPr>
          <w:b/>
        </w:rPr>
        <w:t>EXAMPLES OF IDEAS</w:t>
      </w:r>
      <w:r w:rsidRPr="0098746D">
        <w:rPr>
          <w:b/>
        </w:rPr>
        <w:t xml:space="preserve"> TO ENHANCE PROGRAMS</w:t>
      </w:r>
    </w:p>
    <w:p w14:paraId="4B5055E2" w14:textId="77777777" w:rsidR="002B4DAA" w:rsidRPr="002B4DAA" w:rsidRDefault="002B4DAA" w:rsidP="002B4DAA">
      <w:r>
        <w:rPr>
          <w:b/>
        </w:rPr>
        <w:t>Title III-B Supportive Services</w:t>
      </w:r>
    </w:p>
    <w:p w14:paraId="63FB90D9" w14:textId="77777777" w:rsidR="002B4DAA" w:rsidRDefault="002B4DAA" w:rsidP="002B4DAA">
      <w:pPr>
        <w:pStyle w:val="ListParagraph"/>
        <w:numPr>
          <w:ilvl w:val="0"/>
          <w:numId w:val="6"/>
        </w:numPr>
      </w:pPr>
      <w:r>
        <w:t>Increase transportation options for people needing to get to congregate meal sites in rural communities</w:t>
      </w:r>
    </w:p>
    <w:p w14:paraId="44F0B531" w14:textId="77777777" w:rsidR="002B4DAA" w:rsidRDefault="002B4DAA" w:rsidP="002B4DAA">
      <w:pPr>
        <w:pStyle w:val="ListParagraph"/>
        <w:numPr>
          <w:ilvl w:val="0"/>
          <w:numId w:val="6"/>
        </w:numPr>
      </w:pPr>
      <w:r>
        <w:t>Decrease social isolation by developing a telephone reassurance service in partnership with community volunteers/organization</w:t>
      </w:r>
    </w:p>
    <w:p w14:paraId="6163E2E7" w14:textId="77777777" w:rsidR="002B4DAA" w:rsidRDefault="002B4DAA" w:rsidP="002B4DAA">
      <w:pPr>
        <w:pStyle w:val="ListParagraph"/>
        <w:numPr>
          <w:ilvl w:val="0"/>
          <w:numId w:val="6"/>
        </w:numPr>
      </w:pPr>
      <w:r>
        <w:t>Regional transportation coordination</w:t>
      </w:r>
    </w:p>
    <w:p w14:paraId="5004AA68" w14:textId="77777777" w:rsidR="002B4DAA" w:rsidRDefault="002B4DAA" w:rsidP="002B4DAA">
      <w:pPr>
        <w:pStyle w:val="ListParagraph"/>
        <w:numPr>
          <w:ilvl w:val="0"/>
          <w:numId w:val="6"/>
        </w:numPr>
      </w:pPr>
      <w:r>
        <w:t>Transportation emergency planning</w:t>
      </w:r>
    </w:p>
    <w:p w14:paraId="5E0A4699" w14:textId="77777777" w:rsidR="002B4DAA" w:rsidRDefault="002B4DAA" w:rsidP="002B4DAA">
      <w:pPr>
        <w:pStyle w:val="ListParagraph"/>
        <w:numPr>
          <w:ilvl w:val="0"/>
          <w:numId w:val="6"/>
        </w:numPr>
      </w:pPr>
      <w:r>
        <w:t>Public/private transportation partnerships</w:t>
      </w:r>
    </w:p>
    <w:p w14:paraId="4B434E39" w14:textId="6628E869" w:rsidR="002B4DAA" w:rsidRDefault="002B4DAA" w:rsidP="002B4DAA">
      <w:pPr>
        <w:pStyle w:val="ListParagraph"/>
        <w:numPr>
          <w:ilvl w:val="0"/>
          <w:numId w:val="6"/>
        </w:numPr>
      </w:pPr>
      <w:r>
        <w:t>Embrac</w:t>
      </w:r>
      <w:r w:rsidR="004F0D0C">
        <w:t>e</w:t>
      </w:r>
      <w:r>
        <w:t xml:space="preserve"> new transportation technologies </w:t>
      </w:r>
    </w:p>
    <w:p w14:paraId="23F2F4E8" w14:textId="75C07DF5" w:rsidR="004F0D0C" w:rsidRPr="006E5DC9" w:rsidRDefault="002B4DAA" w:rsidP="006E5DC9">
      <w:pPr>
        <w:pStyle w:val="ListParagraph"/>
        <w:numPr>
          <w:ilvl w:val="0"/>
          <w:numId w:val="6"/>
        </w:numPr>
        <w:spacing w:after="0"/>
      </w:pPr>
      <w:r>
        <w:t>Increase marketing and education efforts on available transportation services</w:t>
      </w:r>
    </w:p>
    <w:p w14:paraId="3AAA3F59" w14:textId="6CED6CA7" w:rsidR="004F0D0C" w:rsidRDefault="004F0D0C" w:rsidP="004F0D0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Partner with other local agencies (ILC, Veterans, pharmacy/home medical supply, etc</w:t>
      </w:r>
      <w:r w:rsidR="006E5DC9">
        <w:rPr>
          <w:rFonts w:eastAsia="Times New Roman"/>
        </w:rPr>
        <w:t>.</w:t>
      </w:r>
      <w:r>
        <w:rPr>
          <w:rFonts w:eastAsia="Times New Roman"/>
        </w:rPr>
        <w:t>) to build a</w:t>
      </w:r>
      <w:r w:rsidR="006E5DC9">
        <w:rPr>
          <w:rFonts w:eastAsia="Times New Roman"/>
        </w:rPr>
        <w:t>n assistive technology or mobility support</w:t>
      </w:r>
      <w:r>
        <w:rPr>
          <w:rFonts w:eastAsia="Times New Roman"/>
        </w:rPr>
        <w:t xml:space="preserve"> loan closet</w:t>
      </w:r>
    </w:p>
    <w:p w14:paraId="304D15B8" w14:textId="16672569" w:rsidR="004F0D0C" w:rsidRDefault="004F0D0C" w:rsidP="004F0D0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Create a volunteer program to provide home repair</w:t>
      </w:r>
      <w:r w:rsidR="006E5DC9">
        <w:rPr>
          <w:rFonts w:eastAsia="Times New Roman"/>
        </w:rPr>
        <w:t>,</w:t>
      </w:r>
      <w:r>
        <w:rPr>
          <w:rFonts w:eastAsia="Times New Roman"/>
        </w:rPr>
        <w:t xml:space="preserve"> small home modifications</w:t>
      </w:r>
      <w:r w:rsidR="006E5DC9">
        <w:rPr>
          <w:rFonts w:eastAsia="Times New Roman"/>
        </w:rPr>
        <w:t>, and chore services</w:t>
      </w:r>
    </w:p>
    <w:p w14:paraId="18470C43" w14:textId="5DD1BDAB" w:rsidR="004F0D0C" w:rsidRDefault="004F0D0C" w:rsidP="004F0D0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Develop a tablet loan program to use for telehealth, support groups, socialization, etc.</w:t>
      </w:r>
    </w:p>
    <w:p w14:paraId="78AE26B3" w14:textId="6FDBA86C" w:rsidR="004F0D0C" w:rsidRDefault="004F0D0C" w:rsidP="004F0D0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Purchase a virtual community engagement platform and develop a plan for continuous community engagement – milestones over 3 years and include intentional outreach to underserved populations</w:t>
      </w:r>
    </w:p>
    <w:p w14:paraId="58D93783" w14:textId="245F38AF" w:rsidR="00BD021E" w:rsidRPr="009E1658" w:rsidRDefault="00BD021E" w:rsidP="004F0D0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t>Support non</w:t>
      </w:r>
      <w:r w:rsidR="009E1658">
        <w:t xml:space="preserve"> </w:t>
      </w:r>
      <w:r>
        <w:t>evidence</w:t>
      </w:r>
      <w:r w:rsidR="009E1658">
        <w:t>-</w:t>
      </w:r>
      <w:r>
        <w:t>based health promotion efforts like the Aging Mastery Program</w:t>
      </w:r>
    </w:p>
    <w:p w14:paraId="1F41FDCD" w14:textId="77777777" w:rsidR="009E1658" w:rsidRPr="0089373B" w:rsidRDefault="009E1658" w:rsidP="009E1658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9373B">
        <w:rPr>
          <w:rFonts w:eastAsia="Times New Roman"/>
        </w:rPr>
        <w:t>Develop a virtual meeting space for LGBTQ caregivers and family members.</w:t>
      </w:r>
    </w:p>
    <w:p w14:paraId="41B25A0B" w14:textId="77777777" w:rsidR="009E1658" w:rsidRPr="0089373B" w:rsidRDefault="009E1658" w:rsidP="009E1658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9373B">
        <w:rPr>
          <w:rFonts w:eastAsia="Times New Roman"/>
        </w:rPr>
        <w:t xml:space="preserve">Develop ongoing virtual community connections meeting space for older adults with disabilities/ chronic conditions/ deaf and hearing communities </w:t>
      </w:r>
    </w:p>
    <w:p w14:paraId="72353727" w14:textId="77777777" w:rsidR="009E1658" w:rsidRDefault="009E1658" w:rsidP="009E1658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9373B">
        <w:rPr>
          <w:rFonts w:eastAsia="Times New Roman"/>
        </w:rPr>
        <w:t>Develop a phone support program to address solation and loneliness</w:t>
      </w:r>
    </w:p>
    <w:p w14:paraId="403A7FB4" w14:textId="77777777" w:rsidR="009E1658" w:rsidRDefault="009E1658" w:rsidP="009E1658">
      <w:pPr>
        <w:spacing w:after="0" w:line="240" w:lineRule="auto"/>
        <w:ind w:left="720"/>
        <w:rPr>
          <w:rFonts w:eastAsia="Times New Roman"/>
        </w:rPr>
      </w:pPr>
    </w:p>
    <w:p w14:paraId="18A9247C" w14:textId="77777777" w:rsidR="002B4DAA" w:rsidRPr="002B4DAA" w:rsidRDefault="002B4DAA" w:rsidP="002B4DAA">
      <w:pPr>
        <w:rPr>
          <w:b/>
        </w:rPr>
      </w:pPr>
      <w:r w:rsidRPr="002B4DAA">
        <w:rPr>
          <w:b/>
        </w:rPr>
        <w:t>Title III-C Nutrition Program</w:t>
      </w:r>
    </w:p>
    <w:p w14:paraId="2BE959D4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Utilizing a Malnutrition Screening Tool and enhancing DETERMINE checklist                           </w:t>
      </w:r>
    </w:p>
    <w:p w14:paraId="3227D702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Getting leaders trained in Stepping Up Your Nutrition Class and/or Eat Better, Move More, Weigh Less High-Level EB Class                                   </w:t>
      </w:r>
    </w:p>
    <w:p w14:paraId="3D703C05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Develop a 3 year plan to utilize Nutrition Education Initiative Materials (Eat Well and Beneficial Bites)</w:t>
      </w:r>
    </w:p>
    <w:p w14:paraId="15BB72EC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Increase the amount and type of Nutrition Counseling offered                    </w:t>
      </w:r>
    </w:p>
    <w:p w14:paraId="533478D0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Work with local and statewide partners to address Hunger, Food Insecurity, and Increased Access</w:t>
      </w:r>
    </w:p>
    <w:p w14:paraId="1F0B9C6E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Incorporate Cooking Classes (virtual or in-person)             </w:t>
      </w:r>
    </w:p>
    <w:p w14:paraId="1B7CEBC6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Incorporate Nutrient-Dense Meals by utilizing Menu Development and Culinary Support from GWAAR and Sustainable Kitchens   </w:t>
      </w:r>
    </w:p>
    <w:p w14:paraId="226DCD2B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Expand Socialization opportunities                                          </w:t>
      </w:r>
    </w:p>
    <w:p w14:paraId="6964B3F9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Consider Medically Tailored Meals                     </w:t>
      </w:r>
    </w:p>
    <w:p w14:paraId="575950FD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Work with healthcare entities on Care Transitions                                         </w:t>
      </w:r>
    </w:p>
    <w:p w14:paraId="1884EB94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 Expand under serviced participants in our County</w:t>
      </w:r>
    </w:p>
    <w:p w14:paraId="3E4E554C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Record  programs  and air throughout the year on local cable community channel or Facebook featuring  recipe sharing</w:t>
      </w:r>
    </w:p>
    <w:p w14:paraId="5E2B17DA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Explore breakfast option or Dining at 5 with the goal of increasing participation by at least 25 new, unduplicated individuals participating.</w:t>
      </w:r>
    </w:p>
    <w:p w14:paraId="363EFED5" w14:textId="77777777" w:rsidR="002B4DAA" w:rsidRDefault="002B4DAA" w:rsidP="002B4DA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Emergency planning for participants, meals , </w:t>
      </w:r>
      <w:proofErr w:type="gramStart"/>
      <w:r>
        <w:rPr>
          <w:rFonts w:eastAsia="Times New Roman"/>
        </w:rPr>
        <w:t>drivers</w:t>
      </w:r>
      <w:proofErr w:type="gramEnd"/>
      <w:r>
        <w:rPr>
          <w:rFonts w:eastAsia="Times New Roman"/>
        </w:rPr>
        <w:t xml:space="preserve"> and other staff for multiple emergency scenarios. </w:t>
      </w:r>
    </w:p>
    <w:p w14:paraId="29C2F5CA" w14:textId="77777777" w:rsidR="002B4DAA" w:rsidRDefault="002B4DAA" w:rsidP="002B4DAA"/>
    <w:p w14:paraId="375C1A01" w14:textId="77777777" w:rsidR="002B4DAA" w:rsidRPr="002B4DAA" w:rsidRDefault="002B4DAA" w:rsidP="002B4DAA">
      <w:pPr>
        <w:rPr>
          <w:b/>
        </w:rPr>
      </w:pPr>
      <w:r w:rsidRPr="002B4DAA">
        <w:rPr>
          <w:b/>
        </w:rPr>
        <w:t>Title III-D Health Promotion</w:t>
      </w:r>
    </w:p>
    <w:p w14:paraId="635E671C" w14:textId="77777777" w:rsidR="002B4DAA" w:rsidRPr="002B4DAA" w:rsidRDefault="002B4DAA" w:rsidP="002B4DA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2B4DAA">
        <w:rPr>
          <w:rFonts w:eastAsia="Times New Roman"/>
        </w:rPr>
        <w:t xml:space="preserve">Reduce the health effects of loneliness in older adults </w:t>
      </w:r>
    </w:p>
    <w:p w14:paraId="37A699B4" w14:textId="77777777" w:rsidR="002B4DAA" w:rsidRDefault="002B4DAA" w:rsidP="002B4DA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Identify lonely older adults (possibly through HDM)</w:t>
      </w:r>
    </w:p>
    <w:p w14:paraId="0D6363E3" w14:textId="77777777" w:rsidR="002B4DAA" w:rsidRDefault="002B4DAA" w:rsidP="002B4DA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Implement proven strategies to reduce loneliness</w:t>
      </w:r>
    </w:p>
    <w:p w14:paraId="38FBB89B" w14:textId="77777777" w:rsidR="002B4DAA" w:rsidRDefault="002B4DAA" w:rsidP="002B4DAA">
      <w:pPr>
        <w:pStyle w:val="ListParagraph"/>
        <w:numPr>
          <w:ilvl w:val="2"/>
          <w:numId w:val="5"/>
        </w:numPr>
        <w:spacing w:after="0" w:line="240" w:lineRule="auto"/>
        <w:contextualSpacing w:val="0"/>
      </w:pPr>
      <w:r>
        <w:t>Phone Companion Program</w:t>
      </w:r>
    </w:p>
    <w:p w14:paraId="2BE5F48B" w14:textId="77777777" w:rsidR="002B4DAA" w:rsidRDefault="002B4DAA" w:rsidP="002B4DAA">
      <w:pPr>
        <w:pStyle w:val="ListParagraph"/>
        <w:numPr>
          <w:ilvl w:val="2"/>
          <w:numId w:val="5"/>
        </w:numPr>
        <w:spacing w:after="0" w:line="240" w:lineRule="auto"/>
        <w:contextualSpacing w:val="0"/>
      </w:pPr>
      <w:r>
        <w:t>Implement high-level evidence based programming</w:t>
      </w:r>
    </w:p>
    <w:p w14:paraId="2FE330FE" w14:textId="77777777" w:rsidR="002B4DAA" w:rsidRDefault="002B4DAA" w:rsidP="002B4DAA">
      <w:pPr>
        <w:pStyle w:val="ListParagraph"/>
        <w:numPr>
          <w:ilvl w:val="2"/>
          <w:numId w:val="5"/>
        </w:numPr>
        <w:spacing w:after="0" w:line="240" w:lineRule="auto"/>
        <w:contextualSpacing w:val="0"/>
      </w:pPr>
      <w:r>
        <w:t>Create partnerships with local organization for a collective impact approach (i.e. healthcare, UW-Extension, WIHA)</w:t>
      </w:r>
    </w:p>
    <w:p w14:paraId="39DB5877" w14:textId="77777777" w:rsidR="002B4DAA" w:rsidRDefault="002B4DAA" w:rsidP="002B4DA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Evaluate effectiveness of intervention</w:t>
      </w:r>
    </w:p>
    <w:p w14:paraId="2EDD9F0E" w14:textId="77777777" w:rsidR="002B4DAA" w:rsidRDefault="002B4DAA" w:rsidP="002B4DAA">
      <w:pPr>
        <w:spacing w:after="0" w:line="240" w:lineRule="auto"/>
        <w:ind w:left="1440"/>
        <w:rPr>
          <w:rFonts w:eastAsia="Times New Roman"/>
        </w:rPr>
      </w:pPr>
    </w:p>
    <w:p w14:paraId="072B9D0D" w14:textId="77777777" w:rsidR="002B4DAA" w:rsidRPr="002B4DAA" w:rsidRDefault="002B4DAA" w:rsidP="002B4DA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2B4DAA">
        <w:rPr>
          <w:rFonts w:eastAsia="Times New Roman"/>
        </w:rPr>
        <w:t>Expand high-level evidence based health promotion opportunities for older adults in your community.</w:t>
      </w:r>
    </w:p>
    <w:p w14:paraId="2F34C1B5" w14:textId="77777777" w:rsidR="002B4DAA" w:rsidRDefault="002B4DAA" w:rsidP="002B4DAA">
      <w:pPr>
        <w:spacing w:after="0" w:line="240" w:lineRule="auto"/>
        <w:rPr>
          <w:rFonts w:eastAsia="Times New Roman"/>
        </w:rPr>
      </w:pPr>
    </w:p>
    <w:p w14:paraId="15F80942" w14:textId="77777777" w:rsidR="002B4DAA" w:rsidRPr="002B4DAA" w:rsidRDefault="002B4DAA" w:rsidP="002B4DAA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</w:rPr>
      </w:pPr>
      <w:r w:rsidRPr="002B4DAA">
        <w:rPr>
          <w:rFonts w:eastAsia="Times New Roman"/>
        </w:rPr>
        <w:t>Assess current evidence based health promotion programming for older adults in your community (Aging Unit, ADRC, Senior Ctr, hospitals, clinics, Athletic Clubs, public health)</w:t>
      </w:r>
    </w:p>
    <w:p w14:paraId="6787EDE9" w14:textId="77777777" w:rsidR="002B4DAA" w:rsidRDefault="002B4DAA" w:rsidP="002B4DAA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Establish partnerships to increase evidence based health promotion programming – identify which programs you would like to expand, new programs to address a health need in the community.  Possibly create an evidence based coalition for older adults in your community.</w:t>
      </w:r>
    </w:p>
    <w:p w14:paraId="64BEE1AD" w14:textId="77777777" w:rsidR="002B4DAA" w:rsidRDefault="002B4DAA" w:rsidP="002B4DAA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Plan and implement new programming based on need (train facilitators, etc.)</w:t>
      </w:r>
    </w:p>
    <w:p w14:paraId="09E4A87B" w14:textId="77777777" w:rsidR="002B4DAA" w:rsidRDefault="002B4DAA" w:rsidP="002B4DA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Evaluate programming – is it fitting the need identified</w:t>
      </w:r>
    </w:p>
    <w:p w14:paraId="2420291D" w14:textId="77777777" w:rsidR="002B4DAA" w:rsidRDefault="002B4DAA" w:rsidP="002B4DAA"/>
    <w:p w14:paraId="00D5FA62" w14:textId="77777777" w:rsidR="002B4DAA" w:rsidRPr="002B4DAA" w:rsidRDefault="002B4DAA" w:rsidP="002B4DAA">
      <w:pPr>
        <w:spacing w:after="0" w:line="240" w:lineRule="auto"/>
        <w:rPr>
          <w:rFonts w:eastAsia="Times New Roman"/>
          <w:b/>
        </w:rPr>
      </w:pPr>
      <w:r w:rsidRPr="002B4DAA">
        <w:rPr>
          <w:rFonts w:eastAsia="Times New Roman"/>
          <w:b/>
        </w:rPr>
        <w:t>Title III-E Caregiver Support</w:t>
      </w:r>
    </w:p>
    <w:p w14:paraId="2BF32199" w14:textId="77777777" w:rsidR="002B4DAA" w:rsidRPr="002B4DAA" w:rsidRDefault="002B4DAA" w:rsidP="002B4DA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2B4DAA">
        <w:rPr>
          <w:rFonts w:eastAsia="Times New Roman"/>
        </w:rPr>
        <w:t>Increase access to and availability of respite care services</w:t>
      </w:r>
    </w:p>
    <w:p w14:paraId="295CB391" w14:textId="77777777" w:rsidR="002B4DAA" w:rsidRPr="002B4DAA" w:rsidRDefault="002B4DAA" w:rsidP="00495FB6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r w:rsidRPr="002B4DAA">
        <w:rPr>
          <w:rFonts w:eastAsia="Times New Roman"/>
        </w:rPr>
        <w:t xml:space="preserve">Apply for a </w:t>
      </w:r>
      <w:hyperlink r:id="rId7" w:history="1">
        <w:r w:rsidRPr="002B4DAA">
          <w:rPr>
            <w:rStyle w:val="Hyperlink"/>
            <w:rFonts w:eastAsia="Times New Roman"/>
          </w:rPr>
          <w:t>CORE Respite Grant</w:t>
        </w:r>
      </w:hyperlink>
      <w:r w:rsidRPr="002B4DAA">
        <w:rPr>
          <w:rFonts w:eastAsia="Times New Roman"/>
        </w:rPr>
        <w:t xml:space="preserve"> from RCAW  </w:t>
      </w:r>
      <w:r w:rsidRPr="002B4DAA">
        <w:rPr>
          <w:rFonts w:eastAsia="Times New Roman"/>
          <w:i/>
          <w:iCs/>
        </w:rPr>
        <w:t>(The purpose of the </w:t>
      </w:r>
      <w:r w:rsidRPr="002B4DAA">
        <w:rPr>
          <w:rFonts w:eastAsia="Times New Roman"/>
          <w:b/>
          <w:bCs/>
          <w:i/>
          <w:iCs/>
        </w:rPr>
        <w:t>CORE Grant Program</w:t>
      </w:r>
      <w:r w:rsidRPr="002B4DAA">
        <w:rPr>
          <w:rFonts w:eastAsia="Times New Roman"/>
          <w:i/>
          <w:iCs/>
        </w:rPr>
        <w:t> is to expand the pool of trained respite care providers by hosting recruitment and outreach events, educate family caregivers about long-term care resources, including respite care, and collaborate with agencies that support family caregivers, including but not limited to ADRC’s, County CLTS, and CCOP staff, and Tribes.)</w:t>
      </w:r>
    </w:p>
    <w:p w14:paraId="64617D81" w14:textId="77777777" w:rsidR="002B4DAA" w:rsidRDefault="002B4DAA" w:rsidP="00495FB6">
      <w:pPr>
        <w:numPr>
          <w:ilvl w:val="0"/>
          <w:numId w:val="1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Environmental scan of respite support services in county/tribe </w:t>
      </w:r>
    </w:p>
    <w:p w14:paraId="0B18AC6C" w14:textId="77777777" w:rsidR="002B4DAA" w:rsidRDefault="002B4DAA" w:rsidP="00495FB6">
      <w:pPr>
        <w:numPr>
          <w:ilvl w:val="0"/>
          <w:numId w:val="1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Educate/outreach/marketing on availability of respite services </w:t>
      </w:r>
    </w:p>
    <w:p w14:paraId="4C9B7244" w14:textId="77777777" w:rsidR="002B4DAA" w:rsidRPr="00495FB6" w:rsidRDefault="002B4DAA" w:rsidP="00495FB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495FB6">
        <w:rPr>
          <w:rFonts w:eastAsia="Times New Roman"/>
        </w:rPr>
        <w:t>Increase support for grandparents and relative caregivers caring for relatives’ children</w:t>
      </w:r>
    </w:p>
    <w:p w14:paraId="027B7C0A" w14:textId="77777777" w:rsidR="002B4DAA" w:rsidRDefault="002B4DAA" w:rsidP="00495FB6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Participate in RAPP workgroup through WFACSA</w:t>
      </w:r>
    </w:p>
    <w:p w14:paraId="56523D3C" w14:textId="77777777" w:rsidR="002B4DAA" w:rsidRDefault="002B4DAA" w:rsidP="00495FB6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Create a vehicle for regular communication with Kinship Care staff, WI Adoption &amp; Permanency Support, local Family Resource Center, and the Coalition for Children, Youth and Families</w:t>
      </w:r>
    </w:p>
    <w:p w14:paraId="2C040A15" w14:textId="77777777" w:rsidR="002B4DAA" w:rsidRDefault="002B4DAA" w:rsidP="00495FB6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Survey grandparents/relative caregivers in the county/tribe to find greatest need</w:t>
      </w:r>
    </w:p>
    <w:p w14:paraId="32038599" w14:textId="77777777" w:rsidR="002B4DAA" w:rsidRDefault="002B4DAA" w:rsidP="00495FB6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Work with above partners to initiate one support discovered from survey</w:t>
      </w:r>
    </w:p>
    <w:p w14:paraId="4C28FA60" w14:textId="77777777" w:rsidR="002B4DAA" w:rsidRPr="00495FB6" w:rsidRDefault="002B4DAA" w:rsidP="00495FB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495FB6">
        <w:rPr>
          <w:rFonts w:eastAsia="Times New Roman"/>
        </w:rPr>
        <w:t>Increase the number of caregivers who access virtual caregiver training, support groups and events</w:t>
      </w:r>
    </w:p>
    <w:p w14:paraId="5B1A0CC4" w14:textId="77777777" w:rsidR="002B4DAA" w:rsidRDefault="002B4DAA" w:rsidP="00495FB6">
      <w:pPr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Create a system of referral and engagement of caregivers to the Trualta program</w:t>
      </w:r>
    </w:p>
    <w:p w14:paraId="11689785" w14:textId="77777777" w:rsidR="002B4DAA" w:rsidRDefault="002B4DAA" w:rsidP="00495FB6">
      <w:pPr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Start a tablet loan program which includes internet access</w:t>
      </w:r>
    </w:p>
    <w:p w14:paraId="74897466" w14:textId="77777777" w:rsidR="002B4DAA" w:rsidRDefault="002B4DAA" w:rsidP="00495FB6">
      <w:pPr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Hold regular education opportunities to teach how to use technology and virtual platforms such as Zoom (Senior Planet and Generations Online have programs to access)</w:t>
      </w:r>
    </w:p>
    <w:p w14:paraId="584357E7" w14:textId="77777777" w:rsidR="002B4DAA" w:rsidRDefault="002B4DAA" w:rsidP="00495FB6">
      <w:pPr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Utilize Virtual Events page</w:t>
      </w:r>
    </w:p>
    <w:p w14:paraId="2A9013A8" w14:textId="7EAA25FD" w:rsidR="002B4DAA" w:rsidRDefault="002B4DAA" w:rsidP="00495FB6">
      <w:pPr>
        <w:numPr>
          <w:ilvl w:val="0"/>
          <w:numId w:val="2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Ensure </w:t>
      </w:r>
      <w:r w:rsidR="004F0D0C">
        <w:rPr>
          <w:rFonts w:eastAsia="Times New Roman"/>
        </w:rPr>
        <w:t>underserved populations</w:t>
      </w:r>
      <w:r>
        <w:rPr>
          <w:rFonts w:eastAsia="Times New Roman"/>
        </w:rPr>
        <w:t xml:space="preserve"> have access to (are comfortable accessing) caregiver supports</w:t>
      </w:r>
    </w:p>
    <w:p w14:paraId="265401C8" w14:textId="364E78EE" w:rsidR="004F0D0C" w:rsidRDefault="004F0D0C" w:rsidP="004F0D0C">
      <w:pPr>
        <w:pStyle w:val="ListParagraph"/>
        <w:numPr>
          <w:ilvl w:val="1"/>
          <w:numId w:val="29"/>
        </w:numPr>
        <w:spacing w:after="0"/>
      </w:pPr>
      <w:r>
        <w:t>Connect with trusted leaders of underserved communities.</w:t>
      </w:r>
    </w:p>
    <w:p w14:paraId="12D777E3" w14:textId="77777777" w:rsidR="002B4DAA" w:rsidRDefault="002B4DAA" w:rsidP="00495FB6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Review resources and materials with these groups to assess for relevance/cultural appropriateness </w:t>
      </w:r>
    </w:p>
    <w:p w14:paraId="6F1EEBE5" w14:textId="614FA998" w:rsidR="002B4DAA" w:rsidRDefault="002B4DAA" w:rsidP="00495FB6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Create/revise/extend services to meet specific needs of </w:t>
      </w:r>
      <w:r w:rsidR="004F0D0C">
        <w:rPr>
          <w:rFonts w:eastAsia="Times New Roman"/>
        </w:rPr>
        <w:t>the</w:t>
      </w:r>
      <w:r>
        <w:rPr>
          <w:rFonts w:eastAsia="Times New Roman"/>
        </w:rPr>
        <w:t xml:space="preserve"> groups as identified by above</w:t>
      </w:r>
      <w:r w:rsidR="004F0D0C">
        <w:rPr>
          <w:rFonts w:eastAsia="Times New Roman"/>
        </w:rPr>
        <w:t xml:space="preserve"> activities </w:t>
      </w:r>
    </w:p>
    <w:p w14:paraId="104CA562" w14:textId="77777777" w:rsidR="002B4DAA" w:rsidRPr="002B4DAA" w:rsidRDefault="002B4DAA" w:rsidP="002B4DAA"/>
    <w:p w14:paraId="6771575F" w14:textId="77777777" w:rsidR="002B4DAA" w:rsidRPr="002B4DAA" w:rsidRDefault="002B4DAA" w:rsidP="002B4DAA"/>
    <w:p w14:paraId="0231CF40" w14:textId="77777777" w:rsidR="003D58D2" w:rsidRDefault="003D58D2" w:rsidP="003D58D2">
      <w:pPr>
        <w:rPr>
          <w:b/>
        </w:rPr>
      </w:pPr>
      <w:r>
        <w:rPr>
          <w:b/>
        </w:rPr>
        <w:t>EXAMPLES OF IDEAS</w:t>
      </w:r>
      <w:r w:rsidR="002B4DAA" w:rsidRPr="0098746D">
        <w:rPr>
          <w:b/>
        </w:rPr>
        <w:t xml:space="preserve"> TO ADVANCE VALUES</w:t>
      </w:r>
    </w:p>
    <w:p w14:paraId="4BE887C4" w14:textId="77777777" w:rsidR="002B4DAA" w:rsidRPr="003D58D2" w:rsidRDefault="002B4DAA" w:rsidP="003D58D2">
      <w:pPr>
        <w:rPr>
          <w:b/>
        </w:rPr>
      </w:pPr>
      <w:r>
        <w:t xml:space="preserve">At least one goal is required to </w:t>
      </w:r>
      <w:r w:rsidRPr="003D58D2">
        <w:rPr>
          <w:b/>
          <w:i/>
        </w:rPr>
        <w:t>enhance ongoing community engagement</w:t>
      </w:r>
      <w:r>
        <w:t xml:space="preserve"> with aging plans and program operations so that they build a sense of ownership and commitment by the community.</w:t>
      </w:r>
    </w:p>
    <w:p w14:paraId="3CD31A44" w14:textId="77777777" w:rsidR="003D58D2" w:rsidRDefault="003D58D2" w:rsidP="003D58D2">
      <w:pPr>
        <w:pStyle w:val="ListParagraph"/>
        <w:numPr>
          <w:ilvl w:val="0"/>
          <w:numId w:val="4"/>
        </w:numPr>
      </w:pPr>
      <w:r>
        <w:t>Successfully engage individuals who are not program participants in the community engagement/needs assessment process</w:t>
      </w:r>
    </w:p>
    <w:p w14:paraId="09A373B4" w14:textId="77777777" w:rsidR="003D58D2" w:rsidRDefault="003D58D2" w:rsidP="003D58D2">
      <w:pPr>
        <w:pStyle w:val="ListParagraph"/>
        <w:numPr>
          <w:ilvl w:val="0"/>
          <w:numId w:val="4"/>
        </w:numPr>
      </w:pPr>
      <w:r>
        <w:t>Hold three community engagement events, two virtual, and get input from people who can’t attend in-person</w:t>
      </w:r>
    </w:p>
    <w:p w14:paraId="5E9A816D" w14:textId="77777777" w:rsidR="003D58D2" w:rsidRDefault="003D58D2" w:rsidP="003D58D2">
      <w:pPr>
        <w:pStyle w:val="ListParagraph"/>
        <w:numPr>
          <w:ilvl w:val="0"/>
          <w:numId w:val="4"/>
        </w:numPr>
      </w:pPr>
      <w:r>
        <w:t>Hold a community engagement event in partnership with a community organization from the Black, Latinx or Hmong community to discuss ways to better serve.</w:t>
      </w:r>
    </w:p>
    <w:p w14:paraId="686425E9" w14:textId="54E3BAED" w:rsidR="003D58D2" w:rsidRDefault="003D58D2" w:rsidP="003D58D2">
      <w:pPr>
        <w:pStyle w:val="ListParagraph"/>
        <w:numPr>
          <w:ilvl w:val="0"/>
          <w:numId w:val="4"/>
        </w:numPr>
      </w:pPr>
      <w:r>
        <w:t xml:space="preserve">Form </w:t>
      </w:r>
      <w:r w:rsidR="003222A6">
        <w:t xml:space="preserve">a </w:t>
      </w:r>
      <w:r>
        <w:t xml:space="preserve">community engagement committee to create and manage ongoing </w:t>
      </w:r>
      <w:r w:rsidR="00495FB6">
        <w:t>community engagement</w:t>
      </w:r>
    </w:p>
    <w:p w14:paraId="53EEE21D" w14:textId="46A94AA4" w:rsidR="003222A6" w:rsidRDefault="003222A6" w:rsidP="003D58D2">
      <w:pPr>
        <w:pStyle w:val="ListParagraph"/>
        <w:numPr>
          <w:ilvl w:val="0"/>
          <w:numId w:val="4"/>
        </w:numPr>
      </w:pPr>
      <w:r>
        <w:t>Purchase and utilize a virtual engagement platform</w:t>
      </w:r>
    </w:p>
    <w:p w14:paraId="650F4A63" w14:textId="77777777" w:rsidR="003D58D2" w:rsidRDefault="003D58D2" w:rsidP="002B4DAA">
      <w:pPr>
        <w:pStyle w:val="ListParagraph"/>
      </w:pPr>
    </w:p>
    <w:p w14:paraId="16A5A3A4" w14:textId="77777777" w:rsidR="003D58D2" w:rsidRDefault="003D58D2" w:rsidP="002B4DAA">
      <w:pPr>
        <w:pStyle w:val="ListParagraph"/>
      </w:pPr>
    </w:p>
    <w:p w14:paraId="6B837EBA" w14:textId="77777777" w:rsidR="002B4DAA" w:rsidRDefault="002B4DAA" w:rsidP="003D58D2">
      <w:r>
        <w:t xml:space="preserve">At least one goal is required to </w:t>
      </w:r>
      <w:r w:rsidRPr="004E5B41">
        <w:t>address progress within one or more program area t</w:t>
      </w:r>
      <w:r>
        <w:t xml:space="preserve">oward </w:t>
      </w:r>
      <w:r w:rsidRPr="003D58D2">
        <w:rPr>
          <w:b/>
          <w:i/>
        </w:rPr>
        <w:t>person-centered services, maximizing consumer control and choice</w:t>
      </w:r>
      <w:r>
        <w:t xml:space="preserve">.  This may include efforts to expand choice and participant direction in specific Title III programs.  One example might be a goal to introduce a choice-based restaurant model as part of the congregate meal program.  </w:t>
      </w:r>
      <w:r w:rsidRPr="004E7F27">
        <w:t>The person centered services goal can be a stand</w:t>
      </w:r>
      <w:r>
        <w:t>-</w:t>
      </w:r>
      <w:r w:rsidRPr="004E7F27">
        <w:t xml:space="preserve">alone goal or met in </w:t>
      </w:r>
      <w:r>
        <w:t xml:space="preserve">one or more of the goals for </w:t>
      </w:r>
      <w:r w:rsidRPr="004E7F27">
        <w:t>Title IIIB, Title IIIC, Title IIID or Title IIIE.</w:t>
      </w:r>
    </w:p>
    <w:p w14:paraId="2EA18F98" w14:textId="77777777" w:rsidR="003D58D2" w:rsidRDefault="003D58D2" w:rsidP="003D58D2">
      <w:pPr>
        <w:pStyle w:val="ListParagraph"/>
        <w:numPr>
          <w:ilvl w:val="0"/>
          <w:numId w:val="4"/>
        </w:numPr>
      </w:pPr>
      <w:r>
        <w:t>Increase choice in congregate dining participation by opening a restaurant model in cooperation with a local restaurant (this is also a nutrition program goal).</w:t>
      </w:r>
    </w:p>
    <w:p w14:paraId="070E94F6" w14:textId="00F0ADA2" w:rsidR="002B4DAA" w:rsidRDefault="003D58D2" w:rsidP="003D58D2">
      <w:pPr>
        <w:pStyle w:val="ListParagraph"/>
        <w:numPr>
          <w:ilvl w:val="0"/>
          <w:numId w:val="4"/>
        </w:numPr>
      </w:pPr>
      <w:r>
        <w:t xml:space="preserve">Expanding congregate and home delivered menu options to include meals that appeal to members of underserved communities, such as the Hispanic, Hmong, Black or </w:t>
      </w:r>
      <w:r w:rsidR="003222A6">
        <w:t>Indigenous</w:t>
      </w:r>
      <w:r>
        <w:t xml:space="preserve"> community  (this is also a health equity and nutrition goal)</w:t>
      </w:r>
      <w:r w:rsidR="003C5BB5">
        <w:t>.</w:t>
      </w:r>
    </w:p>
    <w:p w14:paraId="305FA557" w14:textId="7356326B" w:rsidR="003222A6" w:rsidRDefault="003222A6" w:rsidP="003D58D2">
      <w:pPr>
        <w:pStyle w:val="ListParagraph"/>
        <w:numPr>
          <w:ilvl w:val="0"/>
          <w:numId w:val="4"/>
        </w:numPr>
      </w:pPr>
      <w:r>
        <w:t>Expand respite and in-home services to include non-professional/agency providers</w:t>
      </w:r>
    </w:p>
    <w:p w14:paraId="52D386DE" w14:textId="0AEEE88F" w:rsidR="003222A6" w:rsidRDefault="003222A6" w:rsidP="003222A6">
      <w:pPr>
        <w:pStyle w:val="ListParagraph"/>
        <w:numPr>
          <w:ilvl w:val="1"/>
          <w:numId w:val="4"/>
        </w:numPr>
      </w:pPr>
      <w:r>
        <w:lastRenderedPageBreak/>
        <w:t xml:space="preserve">Create a list of non-agency providers of respite, personal care and homemaker services </w:t>
      </w:r>
    </w:p>
    <w:p w14:paraId="3F1CA49B" w14:textId="006A5942" w:rsidR="003222A6" w:rsidRDefault="003222A6" w:rsidP="003222A6">
      <w:pPr>
        <w:pStyle w:val="ListParagraph"/>
        <w:numPr>
          <w:ilvl w:val="1"/>
          <w:numId w:val="4"/>
        </w:numPr>
      </w:pPr>
      <w:r>
        <w:t xml:space="preserve">Seek out providers of underserved populations to </w:t>
      </w:r>
      <w:r w:rsidR="007427E9">
        <w:t xml:space="preserve">find resources that </w:t>
      </w:r>
      <w:r>
        <w:t xml:space="preserve">caregivers of </w:t>
      </w:r>
      <w:r w:rsidR="007427E9">
        <w:t>less visible communities (LGBTQ+, minorities, low income) are comfortable, willing and able to access.  May need to start by forming relationships with the leaders of these communities.</w:t>
      </w:r>
    </w:p>
    <w:p w14:paraId="55755391" w14:textId="77777777" w:rsidR="003D58D2" w:rsidRDefault="003D58D2" w:rsidP="002B4DAA">
      <w:pPr>
        <w:pStyle w:val="ListParagraph"/>
      </w:pPr>
    </w:p>
    <w:p w14:paraId="41129A54" w14:textId="77777777" w:rsidR="002B4DAA" w:rsidRDefault="002B4DAA" w:rsidP="003D58D2">
      <w:r>
        <w:t xml:space="preserve">At least one goal is required to </w:t>
      </w:r>
      <w:r w:rsidRPr="003D58D2">
        <w:rPr>
          <w:b/>
          <w:i/>
        </w:rPr>
        <w:t xml:space="preserve">address a barrier to racial equity </w:t>
      </w:r>
      <w:r w:rsidRPr="00B85210">
        <w:t>within one or more program area.</w:t>
      </w:r>
      <w:r>
        <w:t xml:space="preserve">  This may include efforts to expand the racial equity or inclusiveness of specific Title III programs.  One example might be a goal to move closer to equitable distribution of aging services to reflect county demographics.</w:t>
      </w:r>
      <w:r w:rsidRPr="004E7F27">
        <w:t xml:space="preserve"> </w:t>
      </w:r>
      <w:r>
        <w:t>The racial equity goal can be a stand-</w:t>
      </w:r>
      <w:r w:rsidRPr="004E7F27">
        <w:t xml:space="preserve">alone goal or met in </w:t>
      </w:r>
      <w:r>
        <w:t xml:space="preserve">one or more of the goals for </w:t>
      </w:r>
      <w:r w:rsidRPr="004E7F27">
        <w:t>Title IIIB, Title IIIC, Title IIID or Title IIIE.</w:t>
      </w:r>
    </w:p>
    <w:p w14:paraId="70932DC4" w14:textId="77777777" w:rsidR="003D58D2" w:rsidRDefault="003D58D2" w:rsidP="003D58D2">
      <w:pPr>
        <w:pStyle w:val="ListParagraph"/>
        <w:numPr>
          <w:ilvl w:val="0"/>
          <w:numId w:val="4"/>
        </w:numPr>
      </w:pPr>
      <w:r>
        <w:t>Modify program outreach and operations to increase</w:t>
      </w:r>
      <w:r w:rsidRPr="003D58D2">
        <w:t xml:space="preserve"> the number of people participating from the </w:t>
      </w:r>
      <w:r>
        <w:t xml:space="preserve">underserved communities, such as the </w:t>
      </w:r>
      <w:r w:rsidR="001C6B06">
        <w:t>Hispanic, Hmong, Black or Indige</w:t>
      </w:r>
      <w:r>
        <w:t>nous community</w:t>
      </w:r>
      <w:r w:rsidRPr="003D58D2">
        <w:t xml:space="preserve"> in home delivered and congregate meal program. (This also a </w:t>
      </w:r>
      <w:r>
        <w:t>nutrition program</w:t>
      </w:r>
      <w:r w:rsidRPr="003D58D2">
        <w:t xml:space="preserve"> goal)</w:t>
      </w:r>
      <w:r>
        <w:t>.</w:t>
      </w:r>
    </w:p>
    <w:p w14:paraId="594FAF91" w14:textId="77777777" w:rsidR="003D58D2" w:rsidRDefault="003D58D2" w:rsidP="003D58D2">
      <w:pPr>
        <w:pStyle w:val="ListParagraph"/>
        <w:numPr>
          <w:ilvl w:val="0"/>
          <w:numId w:val="4"/>
        </w:numPr>
      </w:pPr>
      <w:r>
        <w:t>Offer Spanish language versions of Stepping On and Living Well with Diabetes to i</w:t>
      </w:r>
      <w:r w:rsidRPr="003D58D2">
        <w:t xml:space="preserve">ncrease </w:t>
      </w:r>
      <w:r>
        <w:t>participation of</w:t>
      </w:r>
      <w:r w:rsidRPr="003D58D2">
        <w:t xml:space="preserve"> people from </w:t>
      </w:r>
      <w:r>
        <w:t>underserved communities.</w:t>
      </w:r>
    </w:p>
    <w:p w14:paraId="610F25B7" w14:textId="61989F3D" w:rsidR="003D58D2" w:rsidRDefault="003D58D2" w:rsidP="003D58D2">
      <w:pPr>
        <w:pStyle w:val="ListParagraph"/>
        <w:numPr>
          <w:ilvl w:val="0"/>
          <w:numId w:val="4"/>
        </w:numPr>
      </w:pPr>
      <w:r>
        <w:t>Expand offering and outreach for Grandparent Caregiver supports or kinship care services</w:t>
      </w:r>
      <w:r w:rsidR="003222A6">
        <w:t xml:space="preserve"> to underserved populations in your community</w:t>
      </w:r>
      <w:r w:rsidR="003C5BB5">
        <w:t>.</w:t>
      </w:r>
    </w:p>
    <w:p w14:paraId="1D26C7BB" w14:textId="68CF4169" w:rsidR="003D58D2" w:rsidRDefault="003D58D2" w:rsidP="003D58D2">
      <w:pPr>
        <w:pStyle w:val="ListParagraph"/>
        <w:numPr>
          <w:ilvl w:val="0"/>
          <w:numId w:val="4"/>
        </w:numPr>
      </w:pPr>
      <w:r>
        <w:t>Provide Spanish and Hmong language supports to facilitate participation in caregiver services by underserved communities</w:t>
      </w:r>
      <w:r w:rsidR="003C5BB5">
        <w:t xml:space="preserve"> in your area.</w:t>
      </w:r>
    </w:p>
    <w:p w14:paraId="2F932C70" w14:textId="6A5C249F" w:rsidR="007427E9" w:rsidRDefault="007427E9" w:rsidP="003D58D2">
      <w:pPr>
        <w:pStyle w:val="ListParagraph"/>
        <w:numPr>
          <w:ilvl w:val="0"/>
          <w:numId w:val="4"/>
        </w:numPr>
      </w:pPr>
      <w:r>
        <w:t xml:space="preserve">Provide in-depth training to agency staff about inclusiveness and equity with the goal of identifying groups in your communities who are not being served because programs offered do not </w:t>
      </w:r>
      <w:r w:rsidR="003C5BB5">
        <w:t>take into account</w:t>
      </w:r>
      <w:r>
        <w:t xml:space="preserve"> the specific needs of these groups</w:t>
      </w:r>
      <w:r w:rsidR="003C5BB5">
        <w:t>.</w:t>
      </w:r>
    </w:p>
    <w:p w14:paraId="04FC9C51" w14:textId="77777777" w:rsidR="003D58D2" w:rsidRDefault="003D58D2" w:rsidP="003D58D2">
      <w:pPr>
        <w:pStyle w:val="ListParagraph"/>
      </w:pPr>
    </w:p>
    <w:p w14:paraId="6A057C9B" w14:textId="77777777" w:rsidR="00DE5688" w:rsidRDefault="002B4DAA" w:rsidP="001C6B06">
      <w:r>
        <w:t xml:space="preserve">At least one goal is required to increase local aging and disability network participants’ </w:t>
      </w:r>
      <w:r w:rsidRPr="003D58D2">
        <w:rPr>
          <w:b/>
          <w:i/>
        </w:rPr>
        <w:t>knowledge and skills related to advocacy</w:t>
      </w:r>
      <w:r>
        <w:t>.  This may include efforts to educate older adults about policy making or legislative processes, sometimes known as “Senior Statesman” training.</w:t>
      </w:r>
      <w:r w:rsidRPr="004E7F27">
        <w:t xml:space="preserve"> The </w:t>
      </w:r>
      <w:r>
        <w:t>advocacy</w:t>
      </w:r>
      <w:r w:rsidRPr="004E7F27">
        <w:t xml:space="preserve"> goal can be a stand</w:t>
      </w:r>
      <w:r>
        <w:t>-</w:t>
      </w:r>
      <w:r w:rsidRPr="004E7F27">
        <w:t>alone goal or met in</w:t>
      </w:r>
      <w:r>
        <w:t xml:space="preserve"> one or more of the goals for</w:t>
      </w:r>
      <w:r w:rsidRPr="004E7F27">
        <w:t xml:space="preserve"> Title IIIB, Title IIIC, Title IIID or Title IIIE.</w:t>
      </w:r>
    </w:p>
    <w:p w14:paraId="312DE195" w14:textId="3913C2B2" w:rsidR="00B11B1D" w:rsidRPr="0085292D" w:rsidRDefault="0085292D" w:rsidP="009229F9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>Increase the effective advocacy skills of X</w:t>
      </w:r>
      <w:r w:rsidR="00ED17E5">
        <w:rPr>
          <w:b/>
          <w:bCs/>
        </w:rPr>
        <w:t xml:space="preserve"> # of </w:t>
      </w:r>
      <w:r>
        <w:rPr>
          <w:b/>
          <w:bCs/>
        </w:rPr>
        <w:t>people by offering training and resources</w:t>
      </w:r>
      <w:r w:rsidR="00ED17E5">
        <w:rPr>
          <w:b/>
          <w:bCs/>
        </w:rPr>
        <w:t xml:space="preserve"> </w:t>
      </w:r>
      <w:r w:rsidR="009229F9">
        <w:rPr>
          <w:b/>
          <w:bCs/>
        </w:rPr>
        <w:t>–</w:t>
      </w:r>
      <w:r w:rsidR="00ED17E5">
        <w:rPr>
          <w:b/>
          <w:bCs/>
        </w:rPr>
        <w:t xml:space="preserve"> </w:t>
      </w:r>
      <w:r w:rsidR="009229F9">
        <w:rPr>
          <w:b/>
          <w:bCs/>
        </w:rPr>
        <w:t xml:space="preserve">Increase </w:t>
      </w:r>
      <w:r w:rsidR="00ED17E5" w:rsidRPr="00ED17E5">
        <w:rPr>
          <w:b/>
          <w:bCs/>
          <w:sz w:val="24"/>
          <w:szCs w:val="24"/>
        </w:rPr>
        <w:t>Knowledge</w:t>
      </w:r>
    </w:p>
    <w:p w14:paraId="2EB17B24" w14:textId="200A3112" w:rsidR="00936EFA" w:rsidRPr="004B5696" w:rsidRDefault="00936EFA" w:rsidP="009229F9">
      <w:pPr>
        <w:pStyle w:val="ListParagraph"/>
        <w:numPr>
          <w:ilvl w:val="1"/>
          <w:numId w:val="32"/>
        </w:numPr>
      </w:pPr>
      <w:r w:rsidRPr="004B5696">
        <w:t>Who are your legislators? What role do they play?</w:t>
      </w:r>
    </w:p>
    <w:p w14:paraId="42093111" w14:textId="1A0DF301" w:rsidR="00936EFA" w:rsidRPr="004B5696" w:rsidRDefault="00936EFA" w:rsidP="009229F9">
      <w:pPr>
        <w:pStyle w:val="ListParagraph"/>
        <w:numPr>
          <w:ilvl w:val="1"/>
          <w:numId w:val="32"/>
        </w:numPr>
      </w:pPr>
      <w:r w:rsidRPr="004B5696">
        <w:t>Legislative process</w:t>
      </w:r>
    </w:p>
    <w:p w14:paraId="243032F9" w14:textId="6A859B2C" w:rsidR="00936EFA" w:rsidRPr="004B5696" w:rsidRDefault="00936EFA" w:rsidP="009229F9">
      <w:pPr>
        <w:pStyle w:val="ListParagraph"/>
        <w:numPr>
          <w:ilvl w:val="1"/>
          <w:numId w:val="32"/>
        </w:numPr>
      </w:pPr>
      <w:r w:rsidRPr="004B5696">
        <w:t>How to tell your story</w:t>
      </w:r>
    </w:p>
    <w:p w14:paraId="229ECD57" w14:textId="63EB1EEB" w:rsidR="0085292D" w:rsidRPr="004B5696" w:rsidRDefault="0085292D" w:rsidP="009229F9">
      <w:pPr>
        <w:pStyle w:val="ListParagraph"/>
        <w:numPr>
          <w:ilvl w:val="1"/>
          <w:numId w:val="32"/>
        </w:numPr>
      </w:pPr>
      <w:r w:rsidRPr="004B5696">
        <w:t>Issues impacting older adults/people with disabilities – local, state, federal or budget or non-budget policy</w:t>
      </w:r>
    </w:p>
    <w:p w14:paraId="12093EA0" w14:textId="77777777" w:rsidR="00936EFA" w:rsidRPr="004B5696" w:rsidRDefault="00936EFA" w:rsidP="00936EFA">
      <w:pPr>
        <w:pStyle w:val="ListParagraph"/>
      </w:pPr>
    </w:p>
    <w:p w14:paraId="087BB95E" w14:textId="7ECE786A" w:rsidR="00B11B1D" w:rsidRDefault="0085292D" w:rsidP="009229F9">
      <w:pPr>
        <w:pStyle w:val="ListParagraph"/>
        <w:numPr>
          <w:ilvl w:val="0"/>
          <w:numId w:val="32"/>
        </w:numPr>
        <w:rPr>
          <w:b/>
          <w:bCs/>
        </w:rPr>
      </w:pPr>
      <w:r w:rsidRPr="0085292D">
        <w:rPr>
          <w:b/>
          <w:bCs/>
        </w:rPr>
        <w:t xml:space="preserve">Identify </w:t>
      </w:r>
      <w:r w:rsidRPr="00ED17E5">
        <w:rPr>
          <w:b/>
          <w:bCs/>
          <w:sz w:val="24"/>
          <w:szCs w:val="24"/>
        </w:rPr>
        <w:t>opportunities</w:t>
      </w:r>
      <w:r w:rsidRPr="0085292D">
        <w:rPr>
          <w:b/>
          <w:bCs/>
        </w:rPr>
        <w:t xml:space="preserve"> for </w:t>
      </w:r>
      <w:r w:rsidR="009229F9">
        <w:rPr>
          <w:b/>
          <w:bCs/>
        </w:rPr>
        <w:t xml:space="preserve">(newly trained) </w:t>
      </w:r>
      <w:r w:rsidRPr="0085292D">
        <w:rPr>
          <w:b/>
          <w:bCs/>
        </w:rPr>
        <w:t>advocates to put their skills to work</w:t>
      </w:r>
    </w:p>
    <w:p w14:paraId="4B0518AC" w14:textId="6A8697F7" w:rsidR="0085292D" w:rsidRPr="004B5696" w:rsidRDefault="0085292D" w:rsidP="009229F9">
      <w:pPr>
        <w:pStyle w:val="ListParagraph"/>
        <w:numPr>
          <w:ilvl w:val="1"/>
          <w:numId w:val="32"/>
        </w:numPr>
      </w:pPr>
      <w:r w:rsidRPr="004B5696">
        <w:t>County/tribal budget process</w:t>
      </w:r>
    </w:p>
    <w:p w14:paraId="4880DF9B" w14:textId="41B88368" w:rsidR="0085292D" w:rsidRPr="004B5696" w:rsidRDefault="0085292D" w:rsidP="009229F9">
      <w:pPr>
        <w:pStyle w:val="ListParagraph"/>
        <w:numPr>
          <w:ilvl w:val="1"/>
          <w:numId w:val="32"/>
        </w:numPr>
      </w:pPr>
      <w:r w:rsidRPr="004B5696">
        <w:t>Municipal issue</w:t>
      </w:r>
    </w:p>
    <w:p w14:paraId="5E95F9F5" w14:textId="5D7C62E5" w:rsidR="0085292D" w:rsidRPr="004B5696" w:rsidRDefault="0085292D" w:rsidP="009229F9">
      <w:pPr>
        <w:pStyle w:val="ListParagraph"/>
        <w:numPr>
          <w:ilvl w:val="1"/>
          <w:numId w:val="32"/>
        </w:numPr>
      </w:pPr>
      <w:r w:rsidRPr="004B5696">
        <w:t>State budget process</w:t>
      </w:r>
    </w:p>
    <w:p w14:paraId="07EAC7A8" w14:textId="261DF704" w:rsidR="0085292D" w:rsidRPr="004B5696" w:rsidRDefault="0085292D" w:rsidP="009229F9">
      <w:pPr>
        <w:pStyle w:val="ListParagraph"/>
        <w:numPr>
          <w:ilvl w:val="1"/>
          <w:numId w:val="32"/>
        </w:numPr>
      </w:pPr>
      <w:r w:rsidRPr="004B5696">
        <w:t>State legislative process</w:t>
      </w:r>
    </w:p>
    <w:p w14:paraId="669A1DA8" w14:textId="7FA6CAD7" w:rsidR="0085292D" w:rsidRPr="004B5696" w:rsidRDefault="0085292D" w:rsidP="009229F9">
      <w:pPr>
        <w:pStyle w:val="ListParagraph"/>
        <w:numPr>
          <w:ilvl w:val="1"/>
          <w:numId w:val="32"/>
        </w:numPr>
      </w:pPr>
      <w:r w:rsidRPr="004B5696">
        <w:t>Federal budget process</w:t>
      </w:r>
    </w:p>
    <w:p w14:paraId="3CC0A83F" w14:textId="2746B577" w:rsidR="004B5696" w:rsidRPr="004B5696" w:rsidRDefault="004B5696" w:rsidP="009229F9">
      <w:pPr>
        <w:pStyle w:val="ListParagraph"/>
        <w:numPr>
          <w:ilvl w:val="1"/>
          <w:numId w:val="32"/>
        </w:numPr>
      </w:pPr>
      <w:r w:rsidRPr="004B5696">
        <w:lastRenderedPageBreak/>
        <w:t>Federal legislative process</w:t>
      </w:r>
    </w:p>
    <w:p w14:paraId="5EAC6F05" w14:textId="77777777" w:rsidR="004B5696" w:rsidRPr="0085292D" w:rsidRDefault="004B5696" w:rsidP="0085292D">
      <w:pPr>
        <w:pStyle w:val="ListParagraph"/>
        <w:rPr>
          <w:b/>
          <w:bCs/>
        </w:rPr>
      </w:pPr>
    </w:p>
    <w:p w14:paraId="76DC215F" w14:textId="70DBABA1" w:rsidR="00B11B1D" w:rsidRPr="00ED17E5" w:rsidRDefault="004B5696" w:rsidP="009229F9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Provide organizational supports to </w:t>
      </w:r>
      <w:r w:rsidR="009229F9">
        <w:rPr>
          <w:b/>
          <w:bCs/>
        </w:rPr>
        <w:t>advocates/</w:t>
      </w:r>
      <w:r>
        <w:rPr>
          <w:b/>
          <w:bCs/>
        </w:rPr>
        <w:t>members willing to form</w:t>
      </w:r>
      <w:r w:rsidR="00B11B1D" w:rsidRPr="0085292D">
        <w:rPr>
          <w:b/>
          <w:bCs/>
        </w:rPr>
        <w:t xml:space="preserve"> a local Advocacy </w:t>
      </w:r>
      <w:r w:rsidR="00B11B1D" w:rsidRPr="00ED17E5">
        <w:rPr>
          <w:b/>
          <w:bCs/>
          <w:sz w:val="24"/>
          <w:szCs w:val="24"/>
        </w:rPr>
        <w:t>Committee</w:t>
      </w:r>
    </w:p>
    <w:p w14:paraId="1076EA4C" w14:textId="37E79970" w:rsidR="004B5696" w:rsidRPr="004B5696" w:rsidRDefault="004B5696" w:rsidP="004B5696">
      <w:pPr>
        <w:pStyle w:val="ListParagraph"/>
        <w:numPr>
          <w:ilvl w:val="0"/>
          <w:numId w:val="31"/>
        </w:numPr>
      </w:pPr>
      <w:r w:rsidRPr="004B5696">
        <w:t>Meeting space</w:t>
      </w:r>
    </w:p>
    <w:p w14:paraId="4D22BBD9" w14:textId="10C71058" w:rsidR="004B5696" w:rsidRPr="004B5696" w:rsidRDefault="004B5696" w:rsidP="004B5696">
      <w:pPr>
        <w:pStyle w:val="ListParagraph"/>
        <w:numPr>
          <w:ilvl w:val="0"/>
          <w:numId w:val="31"/>
        </w:numPr>
      </w:pPr>
      <w:r w:rsidRPr="004B5696">
        <w:t>Photo copies and supplies</w:t>
      </w:r>
    </w:p>
    <w:p w14:paraId="0ECB3A8F" w14:textId="4D98FE75" w:rsidR="004B5696" w:rsidRPr="004B5696" w:rsidRDefault="004B5696" w:rsidP="004B5696">
      <w:pPr>
        <w:pStyle w:val="ListParagraph"/>
        <w:numPr>
          <w:ilvl w:val="0"/>
          <w:numId w:val="31"/>
        </w:numPr>
      </w:pPr>
      <w:r w:rsidRPr="004B5696">
        <w:t>Access to resources</w:t>
      </w:r>
    </w:p>
    <w:p w14:paraId="0166BD1A" w14:textId="02A2F6CE" w:rsidR="004B5696" w:rsidRDefault="004B5696" w:rsidP="004B5696">
      <w:pPr>
        <w:pStyle w:val="ListParagraph"/>
        <w:numPr>
          <w:ilvl w:val="0"/>
          <w:numId w:val="31"/>
        </w:numPr>
        <w:rPr>
          <w:b/>
          <w:bCs/>
        </w:rPr>
      </w:pPr>
      <w:r w:rsidRPr="004B5696">
        <w:t>Share advocacy updates</w:t>
      </w:r>
    </w:p>
    <w:p w14:paraId="40E2E213" w14:textId="36543F51" w:rsidR="004B5696" w:rsidRDefault="004B5696" w:rsidP="004B5696">
      <w:pPr>
        <w:pStyle w:val="ListParagraph"/>
        <w:numPr>
          <w:ilvl w:val="0"/>
          <w:numId w:val="31"/>
        </w:numPr>
      </w:pPr>
      <w:r w:rsidRPr="004B5696">
        <w:t xml:space="preserve">Agenda </w:t>
      </w:r>
      <w:r>
        <w:t>items</w:t>
      </w:r>
    </w:p>
    <w:p w14:paraId="590DDBC5" w14:textId="3E11ADD0" w:rsidR="009229F9" w:rsidRPr="009229F9" w:rsidRDefault="00AA01C8" w:rsidP="009229F9">
      <w:pPr>
        <w:rPr>
          <w:b/>
          <w:bCs/>
        </w:rPr>
      </w:pPr>
      <w:r>
        <w:rPr>
          <w:b/>
          <w:bCs/>
        </w:rPr>
        <w:t>Advocacy goals could also advance racial equity b</w:t>
      </w:r>
      <w:r w:rsidR="009229F9" w:rsidRPr="009229F9">
        <w:rPr>
          <w:b/>
          <w:bCs/>
        </w:rPr>
        <w:t>y incorporating the following:</w:t>
      </w:r>
    </w:p>
    <w:p w14:paraId="27161A24" w14:textId="0BC54655" w:rsidR="006E5DC9" w:rsidRDefault="009229F9" w:rsidP="006E5DC9">
      <w:pPr>
        <w:pStyle w:val="ListParagraph"/>
        <w:numPr>
          <w:ilvl w:val="0"/>
          <w:numId w:val="29"/>
        </w:numPr>
      </w:pPr>
      <w:r>
        <w:t>When recruiting for advocacy training, specifically reach o</w:t>
      </w:r>
      <w:r w:rsidR="00AA01C8">
        <w:t xml:space="preserve">ut to parts of the community that </w:t>
      </w:r>
      <w:r>
        <w:t>have not been represented before</w:t>
      </w:r>
      <w:r w:rsidR="003C5BB5">
        <w:t>.</w:t>
      </w:r>
    </w:p>
    <w:p w14:paraId="2A27D058" w14:textId="064F8738" w:rsidR="006E5DC9" w:rsidRDefault="006E5DC9" w:rsidP="006E5DC9">
      <w:pPr>
        <w:pStyle w:val="ListParagraph"/>
        <w:numPr>
          <w:ilvl w:val="1"/>
          <w:numId w:val="29"/>
        </w:numPr>
      </w:pPr>
      <w:r>
        <w:t>Ensure the accessibility of advocacy events with attention to the physical space, the technology used, and the need for interpretation, closed captioning, and translation.</w:t>
      </w:r>
    </w:p>
    <w:p w14:paraId="618C9E81" w14:textId="2E1F0BB1" w:rsidR="00AA01C8" w:rsidRDefault="009229F9" w:rsidP="009229F9">
      <w:pPr>
        <w:pStyle w:val="ListParagraph"/>
        <w:numPr>
          <w:ilvl w:val="1"/>
          <w:numId w:val="29"/>
        </w:numPr>
      </w:pPr>
      <w:r>
        <w:t>Make sure outreach materials are</w:t>
      </w:r>
      <w:r w:rsidR="00AA01C8">
        <w:t xml:space="preserve"> </w:t>
      </w:r>
      <w:r w:rsidR="006E5DC9">
        <w:t xml:space="preserve">accessible and </w:t>
      </w:r>
      <w:r w:rsidR="00AA01C8">
        <w:t>available in translation</w:t>
      </w:r>
      <w:r w:rsidR="003C5BB5">
        <w:t>.</w:t>
      </w:r>
    </w:p>
    <w:p w14:paraId="57D8A3B0" w14:textId="56F48418" w:rsidR="009229F9" w:rsidRDefault="00AA01C8" w:rsidP="009229F9">
      <w:pPr>
        <w:pStyle w:val="ListParagraph"/>
        <w:numPr>
          <w:ilvl w:val="1"/>
          <w:numId w:val="29"/>
        </w:numPr>
      </w:pPr>
      <w:r>
        <w:t>Seek trainers with lived expe</w:t>
      </w:r>
      <w:r w:rsidR="003343C2">
        <w:t>rience in underserved communities</w:t>
      </w:r>
      <w:r w:rsidR="003C5BB5">
        <w:t>.</w:t>
      </w:r>
    </w:p>
    <w:p w14:paraId="78414C75" w14:textId="4356521B" w:rsidR="009229F9" w:rsidRDefault="009229F9" w:rsidP="009229F9">
      <w:pPr>
        <w:pStyle w:val="ListParagraph"/>
        <w:numPr>
          <w:ilvl w:val="1"/>
          <w:numId w:val="29"/>
        </w:numPr>
      </w:pPr>
      <w:r>
        <w:t xml:space="preserve">Connect </w:t>
      </w:r>
      <w:r w:rsidR="00AA01C8">
        <w:t>with trusted leaders of underserved</w:t>
      </w:r>
      <w:r>
        <w:t xml:space="preserve"> communities</w:t>
      </w:r>
      <w:r w:rsidR="003C5BB5">
        <w:t>.</w:t>
      </w:r>
    </w:p>
    <w:p w14:paraId="715D96D9" w14:textId="20B1B085" w:rsidR="009229F9" w:rsidRDefault="009229F9" w:rsidP="009229F9">
      <w:pPr>
        <w:pStyle w:val="ListParagraph"/>
        <w:numPr>
          <w:ilvl w:val="0"/>
          <w:numId w:val="29"/>
        </w:numPr>
      </w:pPr>
      <w:r>
        <w:t>Make sure topics you address in the three steps above reflect</w:t>
      </w:r>
      <w:r w:rsidR="003C5BB5">
        <w:t xml:space="preserve"> the needs of</w:t>
      </w:r>
      <w:r w:rsidR="00AA01C8">
        <w:t xml:space="preserve"> underserved </w:t>
      </w:r>
      <w:r>
        <w:t>communities</w:t>
      </w:r>
      <w:r w:rsidR="003C5BB5">
        <w:t>.</w:t>
      </w:r>
    </w:p>
    <w:p w14:paraId="7D6D54C2" w14:textId="58E4EC63" w:rsidR="006E5DC9" w:rsidRDefault="006E5DC9" w:rsidP="009229F9">
      <w:pPr>
        <w:pStyle w:val="ListParagraph"/>
        <w:numPr>
          <w:ilvl w:val="0"/>
          <w:numId w:val="29"/>
        </w:numPr>
      </w:pPr>
      <w:r>
        <w:t xml:space="preserve">Support partners from underserved communities by allying with their advocacy efforts. </w:t>
      </w:r>
    </w:p>
    <w:p w14:paraId="234E5B1F" w14:textId="606899C9" w:rsidR="009229F9" w:rsidRPr="004B5696" w:rsidRDefault="003343C2" w:rsidP="009229F9">
      <w:pPr>
        <w:pStyle w:val="ListParagraph"/>
        <w:numPr>
          <w:ilvl w:val="0"/>
          <w:numId w:val="29"/>
        </w:numPr>
      </w:pPr>
      <w:r>
        <w:t>Test your results</w:t>
      </w:r>
      <w:r w:rsidR="009229F9">
        <w:t xml:space="preserve"> – do the advocacy </w:t>
      </w:r>
      <w:r>
        <w:t>activities</w:t>
      </w:r>
      <w:r w:rsidR="009229F9">
        <w:t xml:space="preserve"> or plans reflect input from all populations in the community?</w:t>
      </w:r>
    </w:p>
    <w:sectPr w:rsidR="009229F9" w:rsidRPr="004B5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B50E" w14:textId="77777777" w:rsidR="00495FB6" w:rsidRDefault="00495FB6" w:rsidP="00495FB6">
      <w:pPr>
        <w:spacing w:after="0" w:line="240" w:lineRule="auto"/>
      </w:pPr>
      <w:r>
        <w:separator/>
      </w:r>
    </w:p>
  </w:endnote>
  <w:endnote w:type="continuationSeparator" w:id="0">
    <w:p w14:paraId="5B09A197" w14:textId="77777777" w:rsidR="00495FB6" w:rsidRDefault="00495FB6" w:rsidP="0049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1720" w14:textId="77777777" w:rsidR="00495FB6" w:rsidRDefault="00495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EC65" w14:textId="77777777" w:rsidR="00495FB6" w:rsidRDefault="00495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C5B00" w14:textId="77777777" w:rsidR="00495FB6" w:rsidRDefault="00495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093F" w14:textId="77777777" w:rsidR="00495FB6" w:rsidRDefault="00495FB6" w:rsidP="00495FB6">
      <w:pPr>
        <w:spacing w:after="0" w:line="240" w:lineRule="auto"/>
      </w:pPr>
      <w:r>
        <w:separator/>
      </w:r>
    </w:p>
  </w:footnote>
  <w:footnote w:type="continuationSeparator" w:id="0">
    <w:p w14:paraId="424FE0C2" w14:textId="77777777" w:rsidR="00495FB6" w:rsidRDefault="00495FB6" w:rsidP="0049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60B4" w14:textId="77777777" w:rsidR="00495FB6" w:rsidRDefault="00495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4685" w14:textId="75410BC8" w:rsidR="00495FB6" w:rsidRDefault="00495F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66F7F" w14:textId="77777777" w:rsidR="00495FB6" w:rsidRDefault="00495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601"/>
    <w:multiLevelType w:val="hybridMultilevel"/>
    <w:tmpl w:val="B2F4C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705"/>
    <w:multiLevelType w:val="hybridMultilevel"/>
    <w:tmpl w:val="E0E8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361"/>
    <w:multiLevelType w:val="hybridMultilevel"/>
    <w:tmpl w:val="013A8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8EB"/>
    <w:multiLevelType w:val="hybridMultilevel"/>
    <w:tmpl w:val="8F6A61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0F50B1"/>
    <w:multiLevelType w:val="hybridMultilevel"/>
    <w:tmpl w:val="126E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54985"/>
    <w:multiLevelType w:val="hybridMultilevel"/>
    <w:tmpl w:val="7778D8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8675F"/>
    <w:multiLevelType w:val="hybridMultilevel"/>
    <w:tmpl w:val="0A54A4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D5A3B"/>
    <w:multiLevelType w:val="hybridMultilevel"/>
    <w:tmpl w:val="C8D640B0"/>
    <w:lvl w:ilvl="0" w:tplc="FB885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4441"/>
    <w:multiLevelType w:val="hybridMultilevel"/>
    <w:tmpl w:val="68282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841D5"/>
    <w:multiLevelType w:val="hybridMultilevel"/>
    <w:tmpl w:val="849854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B587E"/>
    <w:multiLevelType w:val="multilevel"/>
    <w:tmpl w:val="31A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A02170"/>
    <w:multiLevelType w:val="hybridMultilevel"/>
    <w:tmpl w:val="DD64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9668D"/>
    <w:multiLevelType w:val="hybridMultilevel"/>
    <w:tmpl w:val="F61C5AA2"/>
    <w:lvl w:ilvl="0" w:tplc="09AA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A2836"/>
    <w:multiLevelType w:val="hybridMultilevel"/>
    <w:tmpl w:val="B0A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438CD"/>
    <w:multiLevelType w:val="hybridMultilevel"/>
    <w:tmpl w:val="A0C08542"/>
    <w:lvl w:ilvl="0" w:tplc="09AA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2E259A"/>
    <w:multiLevelType w:val="hybridMultilevel"/>
    <w:tmpl w:val="8252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7CEB80">
      <w:start w:val="1"/>
      <w:numFmt w:val="lowerLetter"/>
      <w:lvlText w:val="%3."/>
      <w:lvlJc w:val="left"/>
      <w:pPr>
        <w:ind w:left="2160" w:hanging="360"/>
      </w:pPr>
      <w:rPr>
        <w:rFonts w:asciiTheme="minorHAnsi" w:eastAsia="Times New Roman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B1DB9"/>
    <w:multiLevelType w:val="hybridMultilevel"/>
    <w:tmpl w:val="16BEB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5705"/>
    <w:multiLevelType w:val="hybridMultilevel"/>
    <w:tmpl w:val="55284414"/>
    <w:lvl w:ilvl="0" w:tplc="09AA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034D9C"/>
    <w:multiLevelType w:val="hybridMultilevel"/>
    <w:tmpl w:val="30521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E037AA"/>
    <w:multiLevelType w:val="hybridMultilevel"/>
    <w:tmpl w:val="5B48684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93479D"/>
    <w:multiLevelType w:val="hybridMultilevel"/>
    <w:tmpl w:val="3A089DD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945EE2"/>
    <w:multiLevelType w:val="hybridMultilevel"/>
    <w:tmpl w:val="8D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D3BF9"/>
    <w:multiLevelType w:val="hybridMultilevel"/>
    <w:tmpl w:val="0A188C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0F7A2B"/>
    <w:multiLevelType w:val="hybridMultilevel"/>
    <w:tmpl w:val="3A88CD56"/>
    <w:lvl w:ilvl="0" w:tplc="09AA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DC031F"/>
    <w:multiLevelType w:val="multilevel"/>
    <w:tmpl w:val="D6F4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384C42"/>
    <w:multiLevelType w:val="hybridMultilevel"/>
    <w:tmpl w:val="A912C0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951D32"/>
    <w:multiLevelType w:val="hybridMultilevel"/>
    <w:tmpl w:val="63E25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916F84"/>
    <w:multiLevelType w:val="hybridMultilevel"/>
    <w:tmpl w:val="1E70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D4D0F"/>
    <w:multiLevelType w:val="hybridMultilevel"/>
    <w:tmpl w:val="E9E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87D03"/>
    <w:multiLevelType w:val="multilevel"/>
    <w:tmpl w:val="4F6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322CF6"/>
    <w:multiLevelType w:val="hybridMultilevel"/>
    <w:tmpl w:val="3B76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36E35"/>
    <w:multiLevelType w:val="hybridMultilevel"/>
    <w:tmpl w:val="FF4836FC"/>
    <w:lvl w:ilvl="0" w:tplc="A2F06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15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26"/>
  </w:num>
  <w:num w:numId="12">
    <w:abstractNumId w:val="8"/>
  </w:num>
  <w:num w:numId="13">
    <w:abstractNumId w:val="22"/>
  </w:num>
  <w:num w:numId="14">
    <w:abstractNumId w:val="6"/>
  </w:num>
  <w:num w:numId="15">
    <w:abstractNumId w:val="20"/>
  </w:num>
  <w:num w:numId="16">
    <w:abstractNumId w:val="25"/>
  </w:num>
  <w:num w:numId="17">
    <w:abstractNumId w:val="19"/>
  </w:num>
  <w:num w:numId="18">
    <w:abstractNumId w:val="17"/>
  </w:num>
  <w:num w:numId="19">
    <w:abstractNumId w:val="23"/>
  </w:num>
  <w:num w:numId="20">
    <w:abstractNumId w:val="14"/>
  </w:num>
  <w:num w:numId="21">
    <w:abstractNumId w:val="13"/>
  </w:num>
  <w:num w:numId="22">
    <w:abstractNumId w:val="12"/>
  </w:num>
  <w:num w:numId="23">
    <w:abstractNumId w:val="10"/>
  </w:num>
  <w:num w:numId="24">
    <w:abstractNumId w:val="29"/>
  </w:num>
  <w:num w:numId="25">
    <w:abstractNumId w:val="24"/>
  </w:num>
  <w:num w:numId="26">
    <w:abstractNumId w:val="28"/>
  </w:num>
  <w:num w:numId="27">
    <w:abstractNumId w:val="18"/>
  </w:num>
  <w:num w:numId="28">
    <w:abstractNumId w:val="16"/>
  </w:num>
  <w:num w:numId="29">
    <w:abstractNumId w:val="27"/>
  </w:num>
  <w:num w:numId="30">
    <w:abstractNumId w:val="5"/>
  </w:num>
  <w:num w:numId="31">
    <w:abstractNumId w:val="3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57"/>
    <w:rsid w:val="00063904"/>
    <w:rsid w:val="000F176A"/>
    <w:rsid w:val="001133C4"/>
    <w:rsid w:val="00165EE2"/>
    <w:rsid w:val="001C6B06"/>
    <w:rsid w:val="00217909"/>
    <w:rsid w:val="00244F85"/>
    <w:rsid w:val="00280122"/>
    <w:rsid w:val="002B4DAA"/>
    <w:rsid w:val="002C5843"/>
    <w:rsid w:val="003222A6"/>
    <w:rsid w:val="003343C2"/>
    <w:rsid w:val="003A22C6"/>
    <w:rsid w:val="003C5BB5"/>
    <w:rsid w:val="003D58D2"/>
    <w:rsid w:val="003F2DC5"/>
    <w:rsid w:val="00424A92"/>
    <w:rsid w:val="0047318B"/>
    <w:rsid w:val="00495FB6"/>
    <w:rsid w:val="004B5696"/>
    <w:rsid w:val="004F0D0C"/>
    <w:rsid w:val="004F6587"/>
    <w:rsid w:val="00530F19"/>
    <w:rsid w:val="005312DD"/>
    <w:rsid w:val="005C12B5"/>
    <w:rsid w:val="005F2509"/>
    <w:rsid w:val="006A5B57"/>
    <w:rsid w:val="006B3996"/>
    <w:rsid w:val="006E5DC9"/>
    <w:rsid w:val="006F6748"/>
    <w:rsid w:val="00704151"/>
    <w:rsid w:val="00717AA1"/>
    <w:rsid w:val="007427E9"/>
    <w:rsid w:val="0085292D"/>
    <w:rsid w:val="0085351F"/>
    <w:rsid w:val="0086000C"/>
    <w:rsid w:val="008C01D7"/>
    <w:rsid w:val="00910F90"/>
    <w:rsid w:val="009229F9"/>
    <w:rsid w:val="00936EFA"/>
    <w:rsid w:val="009752DE"/>
    <w:rsid w:val="009E1658"/>
    <w:rsid w:val="00A22DBD"/>
    <w:rsid w:val="00A5271E"/>
    <w:rsid w:val="00A86D70"/>
    <w:rsid w:val="00AA01C8"/>
    <w:rsid w:val="00AF0235"/>
    <w:rsid w:val="00B11B1D"/>
    <w:rsid w:val="00B33B4A"/>
    <w:rsid w:val="00B532C6"/>
    <w:rsid w:val="00BD021E"/>
    <w:rsid w:val="00CC324E"/>
    <w:rsid w:val="00DE5688"/>
    <w:rsid w:val="00E92F95"/>
    <w:rsid w:val="00ED17E5"/>
    <w:rsid w:val="00F15EF8"/>
    <w:rsid w:val="00F4476A"/>
    <w:rsid w:val="00F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E7F127"/>
  <w15:chartTrackingRefBased/>
  <w15:docId w15:val="{2B093437-7336-4FF4-B17F-D020FE5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415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FB6"/>
  </w:style>
  <w:style w:type="paragraph" w:styleId="Footer">
    <w:name w:val="footer"/>
    <w:basedOn w:val="Normal"/>
    <w:link w:val="FooterChar"/>
    <w:uiPriority w:val="99"/>
    <w:unhideWhenUsed/>
    <w:rsid w:val="00495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4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4798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2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11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18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cure-web.cisco.com/1apGyqGUuV4hsNK1C7cCOGAM9BLexzO350JEAF4mZwvN-VCQ8ruvyRRXd3BWiESSpLOfU2eTti8VqxO0kDzjirzc1LRjLFbippj5e7DaWrbQ-FxGhnmuZ4RahBBqczrzDN7hgQqZHIGhVO4Q1J0vZ04Kj-n48xWwpKyflGufVcHovW-QkXtpsJdzA7Z5KCsV3MnvLlx3tLQyFB0zRDkW9PW_gEjD-6VKk0HavK9RVrHBCv9q2SYWTY0JgKCI8IGFq1tfudobRp4Nhbs3-cqRhA0uYefYI8nr7V6BSFMjcRpam4WfHfBT_eRA8SxKOSFZojzl8wp2ooGVUqcdWNOAfCiLS2h3BWtxRpYeFBoWpKUs/https%3A%2F%2Frespitecarewi.org%2Fgrants%2Fcore-grant-program%2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10055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Ofstead, Cynthia M</dc:creator>
  <cp:keywords/>
  <dc:description/>
  <cp:lastModifiedBy>Jane Mahoney</cp:lastModifiedBy>
  <cp:revision>2</cp:revision>
  <dcterms:created xsi:type="dcterms:W3CDTF">2021-02-26T18:30:00Z</dcterms:created>
  <dcterms:modified xsi:type="dcterms:W3CDTF">2021-02-26T18:30:00Z</dcterms:modified>
</cp:coreProperties>
</file>