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D8" w:rsidRDefault="004866D8" w:rsidP="00665054">
      <w:pPr>
        <w:widowControl w:val="0"/>
        <w:spacing w:after="0"/>
        <w:rPr>
          <w:rFonts w:ascii="Verdana" w:hAnsi="Verdana"/>
          <w:b/>
          <w:bCs/>
          <w:color w:val="000000"/>
          <w:sz w:val="34"/>
          <w:szCs w:val="34"/>
          <w14:ligatures w14:val="none"/>
        </w:rPr>
      </w:pPr>
      <w:r>
        <w:rPr>
          <w:rFonts w:ascii="Verdana" w:hAnsi="Verdana"/>
          <w:b/>
          <w:bCs/>
          <w:color w:val="000000"/>
          <w:sz w:val="34"/>
          <w:szCs w:val="34"/>
          <w14:ligatures w14:val="none"/>
        </w:rPr>
        <w:t>Hospital Observation Status</w:t>
      </w:r>
    </w:p>
    <w:p w:rsidR="004866D8" w:rsidRPr="004866D8" w:rsidRDefault="00BF0860" w:rsidP="0004666D">
      <w:pPr>
        <w:widowControl w:val="0"/>
        <w:rPr>
          <w:rFonts w:ascii="Verdana" w:hAnsi="Verdana"/>
          <w:b/>
          <w:bCs/>
          <w:color w:val="000000"/>
          <w:sz w:val="24"/>
          <w:szCs w:val="24"/>
          <w14:ligatures w14:val="none"/>
        </w:rPr>
      </w:pPr>
      <w:r>
        <w:rPr>
          <w:rFonts w:ascii="Verdana" w:hAnsi="Verdana"/>
          <w:b/>
          <w:bCs/>
          <w:color w:val="000000"/>
          <w:sz w:val="24"/>
          <w:szCs w:val="24"/>
          <w14:ligatures w14:val="none"/>
        </w:rPr>
        <w:t xml:space="preserve">--What Medicare beneficiaries </w:t>
      </w:r>
      <w:r w:rsidR="004866D8" w:rsidRPr="004866D8">
        <w:rPr>
          <w:rFonts w:ascii="Verdana" w:hAnsi="Verdana"/>
          <w:b/>
          <w:bCs/>
          <w:color w:val="000000"/>
          <w:sz w:val="24"/>
          <w:szCs w:val="24"/>
          <w14:ligatures w14:val="none"/>
        </w:rPr>
        <w:t>need to know</w:t>
      </w:r>
    </w:p>
    <w:p w:rsidR="00EF5D79" w:rsidRPr="00317AFA" w:rsidRDefault="000A12E5" w:rsidP="00317AFA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People often think that if they if they are in the hospital and stay overnight in a hospital room they are an “inpatient”.  But that is not always the case. </w:t>
      </w:r>
      <w:r w:rsidR="00317A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>Hospitals provide observation care for patients who are not well e</w:t>
      </w:r>
      <w:bookmarkStart w:id="0" w:name="_GoBack"/>
      <w:bookmarkEnd w:id="0"/>
      <w:r w:rsidRP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>nough to go home but not sick enough to be admitted.</w:t>
      </w:r>
      <w:r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7A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>This ca</w:t>
      </w:r>
      <w:r w:rsidR="000473C2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>re</w:t>
      </w:r>
      <w:r w:rsidRP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 xml:space="preserve"> is considered an outpatient service. </w:t>
      </w:r>
      <w:r w:rsid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 xml:space="preserve"> </w:t>
      </w:r>
      <w:r w:rsidRP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 xml:space="preserve">The hospitalization can include short-term treatment and tests to help doctors decide whether the patient meets the medical criteria for admission. </w:t>
      </w:r>
      <w:r w:rsidR="00317AFA">
        <w:rPr>
          <w:rFonts w:ascii="Times New Roman" w:hAnsi="Times New Roman" w:cs="Times New Roman"/>
          <w:color w:val="auto"/>
          <w:kern w:val="0"/>
          <w:sz w:val="24"/>
          <w:szCs w:val="24"/>
          <w:lang w:val="en"/>
          <w14:ligatures w14:val="none"/>
          <w14:cntxtAlts w14:val="0"/>
        </w:rPr>
        <w:t xml:space="preserve"> </w:t>
      </w:r>
      <w:r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So even if you stay in a hospital overnight you could be considered an outpatient.  </w:t>
      </w:r>
    </w:p>
    <w:p w:rsidR="00D16932" w:rsidRPr="00317AFA" w:rsidRDefault="003D5C9F" w:rsidP="00317AFA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Why does it matter?  </w:t>
      </w:r>
      <w:r w:rsidR="00322633">
        <w:rPr>
          <w:rFonts w:ascii="Times New Roman" w:hAnsi="Times New Roman" w:cs="Times New Roman"/>
          <w:color w:val="auto"/>
          <w:sz w:val="24"/>
          <w:szCs w:val="24"/>
        </w:rPr>
        <w:t>Your hospital status (</w:t>
      </w:r>
      <w:r w:rsidR="00D16932" w:rsidRPr="00317AFA">
        <w:rPr>
          <w:rFonts w:ascii="Times New Roman" w:hAnsi="Times New Roman" w:cs="Times New Roman"/>
          <w:color w:val="auto"/>
          <w:sz w:val="24"/>
          <w:szCs w:val="24"/>
        </w:rPr>
        <w:t>“inpatient” or “outpatient”) affects how much you pay for hospital services (like x-rays drugs and lab tests) and may also affect whether Medicare will cover care you get in a skilled nursing facility (SNF) following your hospital stay.</w:t>
      </w:r>
    </w:p>
    <w:p w:rsidR="003D5C9F" w:rsidRDefault="00A2099C" w:rsidP="00317AFA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Medicare Part A provides coverage for a hospitalization only when you are an inpatient.  </w:t>
      </w:r>
      <w:r w:rsidR="00D16932" w:rsidRPr="00317AFA">
        <w:rPr>
          <w:rFonts w:ascii="Times New Roman" w:hAnsi="Times New Roman" w:cs="Times New Roman"/>
          <w:color w:val="auto"/>
          <w:sz w:val="24"/>
          <w:szCs w:val="24"/>
        </w:rPr>
        <w:t>If you are in the hospital under observation status you are considered an outpatient and Medicare Part A pays nothing.  Medicare Part B covers outpatient hospital services after you pay your deductible, co-insurance and copayments.</w:t>
      </w:r>
      <w:r w:rsidR="00C74958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17AFA">
        <w:rPr>
          <w:rFonts w:ascii="Times New Roman" w:hAnsi="Times New Roman" w:cs="Times New Roman"/>
          <w:color w:val="auto"/>
          <w:sz w:val="24"/>
          <w:szCs w:val="24"/>
        </w:rPr>
        <w:t xml:space="preserve">Generally, this means you pay a copayment for each individual outpatient service you receive.  </w:t>
      </w:r>
    </w:p>
    <w:p w:rsidR="003D5C9F" w:rsidRDefault="00940EDB" w:rsidP="00317AFA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 addition, </w:t>
      </w:r>
      <w:r w:rsidR="004F7356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3D5C9F">
        <w:rPr>
          <w:rFonts w:ascii="Times New Roman" w:hAnsi="Times New Roman" w:cs="Times New Roman"/>
          <w:color w:val="auto"/>
          <w:sz w:val="24"/>
          <w:szCs w:val="24"/>
        </w:rPr>
        <w:t xml:space="preserve">e aware that the </w:t>
      </w:r>
      <w:r w:rsidR="00B61823">
        <w:rPr>
          <w:rFonts w:ascii="Times New Roman" w:hAnsi="Times New Roman" w:cs="Times New Roman"/>
          <w:color w:val="auto"/>
          <w:sz w:val="24"/>
          <w:szCs w:val="24"/>
        </w:rPr>
        <w:t xml:space="preserve">prescription drugs you get in an </w:t>
      </w:r>
      <w:r w:rsidR="004F7356">
        <w:rPr>
          <w:rFonts w:ascii="Times New Roman" w:hAnsi="Times New Roman" w:cs="Times New Roman"/>
          <w:color w:val="auto"/>
          <w:sz w:val="24"/>
          <w:szCs w:val="24"/>
        </w:rPr>
        <w:t xml:space="preserve">outpatient </w:t>
      </w:r>
      <w:r w:rsidR="00B61823">
        <w:rPr>
          <w:rFonts w:ascii="Times New Roman" w:hAnsi="Times New Roman" w:cs="Times New Roman"/>
          <w:color w:val="auto"/>
          <w:sz w:val="24"/>
          <w:szCs w:val="24"/>
        </w:rPr>
        <w:t xml:space="preserve">setting, sometimes called “self-administered drugs”, aren’t covered by </w:t>
      </w:r>
      <w:r w:rsidR="00600BFA">
        <w:rPr>
          <w:rFonts w:ascii="Times New Roman" w:hAnsi="Times New Roman" w:cs="Times New Roman"/>
          <w:color w:val="auto"/>
          <w:sz w:val="24"/>
          <w:szCs w:val="24"/>
        </w:rPr>
        <w:t xml:space="preserve">Part B.  </w:t>
      </w:r>
      <w:r w:rsidR="00B61823">
        <w:rPr>
          <w:rFonts w:ascii="Times New Roman" w:hAnsi="Times New Roman" w:cs="Times New Roman"/>
          <w:color w:val="auto"/>
          <w:sz w:val="24"/>
          <w:szCs w:val="24"/>
        </w:rPr>
        <w:t xml:space="preserve">And for safety reasons, many hospitals have policies that don’t allow patients to bring prescription drugs from home.  If you have Medicare Prescription drug coverage, </w:t>
      </w:r>
      <w:r w:rsidR="003D5C9F">
        <w:rPr>
          <w:rFonts w:ascii="Times New Roman" w:hAnsi="Times New Roman" w:cs="Times New Roman"/>
          <w:color w:val="auto"/>
          <w:sz w:val="24"/>
          <w:szCs w:val="24"/>
        </w:rPr>
        <w:t>Part D</w:t>
      </w:r>
      <w:r w:rsidR="00B61823">
        <w:rPr>
          <w:rFonts w:ascii="Times New Roman" w:hAnsi="Times New Roman" w:cs="Times New Roman"/>
          <w:color w:val="auto"/>
          <w:sz w:val="24"/>
          <w:szCs w:val="24"/>
        </w:rPr>
        <w:t>, these drugs may be covered in certain circumstances.  You’ll likely need to pay out-of-pocket for these drugs and submit a claim to your drug plan for reimbursement.  For further information and to request</w:t>
      </w:r>
      <w:r w:rsidR="003D5C9F">
        <w:rPr>
          <w:rFonts w:ascii="Times New Roman" w:hAnsi="Times New Roman" w:cs="Times New Roman"/>
          <w:color w:val="auto"/>
          <w:sz w:val="24"/>
          <w:szCs w:val="24"/>
        </w:rPr>
        <w:t xml:space="preserve"> an “out-of-n</w:t>
      </w:r>
      <w:r w:rsidR="00B61823">
        <w:rPr>
          <w:rFonts w:ascii="Times New Roman" w:hAnsi="Times New Roman" w:cs="Times New Roman"/>
          <w:color w:val="auto"/>
          <w:sz w:val="24"/>
          <w:szCs w:val="24"/>
        </w:rPr>
        <w:t>etwork pharmacy claim form”, be sure to call your Part D plan.</w:t>
      </w:r>
    </w:p>
    <w:p w:rsidR="00C74958" w:rsidRPr="00317AFA" w:rsidRDefault="00665054" w:rsidP="00317AFA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Sometimes observation care</w:t>
      </w:r>
      <w:r w:rsidR="00C74958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 extend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C74958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 over two or more days, but—remember— that does not mean you are an inpatient. </w:t>
      </w:r>
      <w:r w:rsidR="004F7356">
        <w:rPr>
          <w:rFonts w:ascii="Times New Roman" w:hAnsi="Times New Roman" w:cs="Times New Roman"/>
          <w:color w:val="auto"/>
          <w:sz w:val="24"/>
          <w:szCs w:val="24"/>
        </w:rPr>
        <w:t xml:space="preserve">If you receive </w:t>
      </w:r>
      <w:r w:rsidR="00C74958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observation services for more than 24 hours, the hospital is required to give you a </w:t>
      </w:r>
      <w:r w:rsidR="008411C0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written notification, known as </w:t>
      </w:r>
      <w:r w:rsidR="00C74958" w:rsidRPr="00317AFA">
        <w:rPr>
          <w:rFonts w:ascii="Times New Roman" w:hAnsi="Times New Roman" w:cs="Times New Roman"/>
          <w:color w:val="auto"/>
          <w:sz w:val="24"/>
          <w:szCs w:val="24"/>
        </w:rPr>
        <w:t>Medicare Outpatient Observation Notice (MOON)</w:t>
      </w:r>
      <w:r w:rsidR="008411C0" w:rsidRPr="00317AF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74958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 that tells </w:t>
      </w:r>
      <w:r w:rsidR="008411C0" w:rsidRPr="00317AFA">
        <w:rPr>
          <w:rFonts w:ascii="Times New Roman" w:hAnsi="Times New Roman" w:cs="Times New Roman"/>
          <w:color w:val="auto"/>
          <w:sz w:val="24"/>
          <w:szCs w:val="24"/>
        </w:rPr>
        <w:t>you that you are an outpatient, as well as an oral explanation of the notice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and the financial implications</w:t>
      </w:r>
      <w:r w:rsidR="008411C0" w:rsidRPr="00317AF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17AFA" w:rsidRDefault="00317AFA" w:rsidP="00317AFA">
      <w:pPr>
        <w:pStyle w:val="NormalWeb"/>
      </w:pPr>
      <w:r>
        <w:t xml:space="preserve">It is </w:t>
      </w:r>
      <w:r w:rsidR="00665054">
        <w:t xml:space="preserve">also </w:t>
      </w:r>
      <w:r>
        <w:t>important to note that y</w:t>
      </w:r>
      <w:r w:rsidR="008411C0" w:rsidRPr="00317AFA">
        <w:t>our hospital status wi</w:t>
      </w:r>
      <w:r w:rsidR="00665054">
        <w:t>ll determine whether</w:t>
      </w:r>
      <w:r w:rsidR="008411C0" w:rsidRPr="00317AFA">
        <w:t xml:space="preserve"> you will be able to obtai</w:t>
      </w:r>
      <w:r w:rsidR="00665054">
        <w:t>n</w:t>
      </w:r>
      <w:r w:rsidR="008411C0" w:rsidRPr="00317AFA">
        <w:t xml:space="preserve"> Medicare coverage </w:t>
      </w:r>
      <w:r>
        <w:t>in a nursing home</w:t>
      </w:r>
      <w:r w:rsidR="008411C0" w:rsidRPr="00317AFA">
        <w:t xml:space="preserve"> after your hospital stay.  Original Medicare only covers skilled nursing home care for patients who have had a three-day “inpatient” hospital stay</w:t>
      </w:r>
      <w:proofErr w:type="gramStart"/>
      <w:r w:rsidR="008411C0" w:rsidRPr="00317AFA">
        <w:t>—“</w:t>
      </w:r>
      <w:proofErr w:type="gramEnd"/>
      <w:r w:rsidR="008411C0" w:rsidRPr="00317AFA">
        <w:t xml:space="preserve">observation status” does not count toward the 3-day stay.  </w:t>
      </w:r>
    </w:p>
    <w:p w:rsidR="00C74958" w:rsidRPr="00317AFA" w:rsidRDefault="004F7356" w:rsidP="00665054">
      <w:pPr>
        <w:pStyle w:val="NormalWeb"/>
      </w:pPr>
      <w:r>
        <w:t>M</w:t>
      </w:r>
      <w:r w:rsidR="00234948">
        <w:t>ore information about P</w:t>
      </w:r>
      <w:r>
        <w:t xml:space="preserve">art A and Part B coverage can be found in </w:t>
      </w:r>
      <w:r w:rsidR="00234948">
        <w:t xml:space="preserve">your “Medicare and You” handbook or </w:t>
      </w:r>
      <w:r>
        <w:t xml:space="preserve">by </w:t>
      </w:r>
      <w:r w:rsidR="00234948">
        <w:t>call</w:t>
      </w:r>
      <w:r>
        <w:t>ing</w:t>
      </w:r>
      <w:r w:rsidR="00234948">
        <w:t xml:space="preserve"> 1-800-MEDICARE.  For local assistance with Medicare or other benefit programs contact </w:t>
      </w:r>
      <w:r w:rsidR="00234948" w:rsidRPr="00234948">
        <w:rPr>
          <w:color w:val="FF0000"/>
        </w:rPr>
        <w:t>&lt;YOUR LOCAL CONTACT INFO HERE&gt;</w:t>
      </w:r>
      <w:r w:rsidR="00234948">
        <w:rPr>
          <w:color w:val="FF0000"/>
        </w:rPr>
        <w:t>.</w:t>
      </w:r>
    </w:p>
    <w:sectPr w:rsidR="00C74958" w:rsidRPr="00317AFA" w:rsidSect="00665054">
      <w:foot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30F" w:rsidRDefault="000F730F" w:rsidP="000F730F">
      <w:pPr>
        <w:spacing w:after="0" w:line="240" w:lineRule="auto"/>
      </w:pPr>
      <w:r>
        <w:separator/>
      </w:r>
    </w:p>
  </w:endnote>
  <w:endnote w:type="continuationSeparator" w:id="0">
    <w:p w:rsidR="000F730F" w:rsidRDefault="000F730F" w:rsidP="000F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0F" w:rsidRDefault="009F4F73">
    <w:pPr>
      <w:pStyle w:val="Footer"/>
    </w:pPr>
    <w: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30F" w:rsidRDefault="000F730F" w:rsidP="000F730F">
      <w:pPr>
        <w:spacing w:after="0" w:line="240" w:lineRule="auto"/>
      </w:pPr>
      <w:r>
        <w:separator/>
      </w:r>
    </w:p>
  </w:footnote>
  <w:footnote w:type="continuationSeparator" w:id="0">
    <w:p w:rsidR="000F730F" w:rsidRDefault="000F730F" w:rsidP="000F7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1EE3"/>
    <w:multiLevelType w:val="hybridMultilevel"/>
    <w:tmpl w:val="3636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B90"/>
    <w:multiLevelType w:val="multilevel"/>
    <w:tmpl w:val="17B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D07E7"/>
    <w:multiLevelType w:val="hybridMultilevel"/>
    <w:tmpl w:val="A672FA0E"/>
    <w:lvl w:ilvl="0" w:tplc="85407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F67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E023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3CB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898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924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00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404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0B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42521DF"/>
    <w:multiLevelType w:val="hybridMultilevel"/>
    <w:tmpl w:val="22F8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6D"/>
    <w:rsid w:val="0004666D"/>
    <w:rsid w:val="000473C2"/>
    <w:rsid w:val="000A12E5"/>
    <w:rsid w:val="000F730F"/>
    <w:rsid w:val="0015457D"/>
    <w:rsid w:val="001F4C36"/>
    <w:rsid w:val="00234948"/>
    <w:rsid w:val="00317AFA"/>
    <w:rsid w:val="00322633"/>
    <w:rsid w:val="003D5C9F"/>
    <w:rsid w:val="004866D8"/>
    <w:rsid w:val="004D6C46"/>
    <w:rsid w:val="004F7356"/>
    <w:rsid w:val="00600BFA"/>
    <w:rsid w:val="006133C4"/>
    <w:rsid w:val="00665054"/>
    <w:rsid w:val="00665CD1"/>
    <w:rsid w:val="008411C0"/>
    <w:rsid w:val="00940EDB"/>
    <w:rsid w:val="009F4F73"/>
    <w:rsid w:val="00A2099C"/>
    <w:rsid w:val="00A6752B"/>
    <w:rsid w:val="00B46015"/>
    <w:rsid w:val="00B61823"/>
    <w:rsid w:val="00BF0860"/>
    <w:rsid w:val="00C10AB3"/>
    <w:rsid w:val="00C66DDA"/>
    <w:rsid w:val="00C74958"/>
    <w:rsid w:val="00D16932"/>
    <w:rsid w:val="00E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40E7"/>
  <w15:chartTrackingRefBased/>
  <w15:docId w15:val="{13876E94-F284-4618-99B0-1FAD3A14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666D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66D"/>
    <w:rPr>
      <w:color w:val="7DCAE8"/>
      <w:u w:val="single"/>
    </w:rPr>
  </w:style>
  <w:style w:type="paragraph" w:styleId="NormalWeb">
    <w:name w:val="Normal (Web)"/>
    <w:basedOn w:val="Normal"/>
    <w:uiPriority w:val="99"/>
    <w:unhideWhenUsed/>
    <w:rsid w:val="00665CD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665CD1"/>
    <w:rPr>
      <w:b/>
      <w:bCs/>
    </w:rPr>
  </w:style>
  <w:style w:type="paragraph" w:styleId="ListParagraph">
    <w:name w:val="List Paragraph"/>
    <w:basedOn w:val="Normal"/>
    <w:uiPriority w:val="34"/>
    <w:qFormat/>
    <w:rsid w:val="00A6752B"/>
    <w:pPr>
      <w:spacing w:after="0" w:line="240" w:lineRule="auto"/>
      <w:ind w:left="720"/>
      <w:contextualSpacing/>
    </w:pPr>
    <w:rPr>
      <w:rFonts w:ascii="Calibri" w:hAnsi="Calibri" w:cs="Times New Roman"/>
      <w:color w:val="auto"/>
      <w:kern w:val="0"/>
      <w:sz w:val="24"/>
      <w:szCs w:val="20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948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48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0F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F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F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F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7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0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2020-01-27T20:05:00Z</cp:lastPrinted>
  <dcterms:created xsi:type="dcterms:W3CDTF">2020-01-27T20:08:00Z</dcterms:created>
  <dcterms:modified xsi:type="dcterms:W3CDTF">2020-01-27T20:08:00Z</dcterms:modified>
</cp:coreProperties>
</file>